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DC1ED" w14:textId="77777777" w:rsidR="009859C5" w:rsidRDefault="009859C5" w:rsidP="009859C5">
      <w:pPr>
        <w:jc w:val="center"/>
        <w:rPr>
          <w:b/>
        </w:rPr>
      </w:pPr>
      <w:r>
        <w:rPr>
          <w:b/>
        </w:rPr>
        <w:t>P.U.C. DOCKET NO. 46256</w:t>
      </w:r>
    </w:p>
    <w:p w14:paraId="1ED550C1" w14:textId="77777777" w:rsidR="004F75B7" w:rsidRDefault="004F75B7" w:rsidP="004F75B7">
      <w:pPr>
        <w:jc w:val="center"/>
        <w:rPr>
          <w:b/>
        </w:rPr>
      </w:pPr>
      <w:r>
        <w:rPr>
          <w:b/>
        </w:rPr>
        <w:t>SOAH DOCKET NO. 473-17-1641.WS</w:t>
      </w:r>
    </w:p>
    <w:p w14:paraId="7887C3AB" w14:textId="77777777" w:rsidR="004F75B7" w:rsidRDefault="004F75B7" w:rsidP="004F75B7">
      <w:pPr>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30"/>
        <w:gridCol w:w="4315"/>
      </w:tblGrid>
      <w:tr w:rsidR="004F75B7" w:rsidRPr="004F75B7" w14:paraId="3DE4734F" w14:textId="77777777" w:rsidTr="005D320B">
        <w:tc>
          <w:tcPr>
            <w:tcW w:w="4405" w:type="dxa"/>
          </w:tcPr>
          <w:p w14:paraId="0B6A62DF" w14:textId="77777777" w:rsidR="004F75B7" w:rsidRPr="004F75B7" w:rsidRDefault="004F75B7" w:rsidP="005D320B">
            <w:pPr>
              <w:jc w:val="left"/>
              <w:rPr>
                <w:rFonts w:ascii="Times New Roman" w:hAnsi="Times New Roman" w:cs="Times New Roman"/>
                <w:b/>
                <w:sz w:val="24"/>
                <w:szCs w:val="24"/>
              </w:rPr>
            </w:pPr>
            <w:r w:rsidRPr="004F75B7">
              <w:rPr>
                <w:rFonts w:ascii="Times New Roman" w:hAnsi="Times New Roman" w:cs="Times New Roman"/>
                <w:b/>
                <w:sz w:val="24"/>
                <w:szCs w:val="24"/>
              </w:rPr>
              <w:t>APPLICATION OF LIBERTY UTILITIES (WOODMARK SEWER) CORP., LIBERTY UTILITIES (TALL TIMBERS SEWER) CORP., AND LIBERTY UTILITIES (SUB) CORP.  FOR A RATE/TARIFF CHANGE</w:t>
            </w:r>
          </w:p>
        </w:tc>
        <w:tc>
          <w:tcPr>
            <w:tcW w:w="630" w:type="dxa"/>
          </w:tcPr>
          <w:p w14:paraId="0B5FC049" w14:textId="77777777" w:rsidR="004F75B7" w:rsidRPr="004F75B7" w:rsidRDefault="004F75B7" w:rsidP="005D320B">
            <w:pPr>
              <w:jc w:val="center"/>
              <w:rPr>
                <w:rFonts w:ascii="Times New Roman" w:hAnsi="Times New Roman" w:cs="Times New Roman"/>
                <w:b/>
                <w:sz w:val="24"/>
                <w:szCs w:val="24"/>
              </w:rPr>
            </w:pPr>
            <w:r w:rsidRPr="004F75B7">
              <w:rPr>
                <w:rFonts w:ascii="Times New Roman" w:hAnsi="Times New Roman" w:cs="Times New Roman"/>
                <w:b/>
                <w:sz w:val="24"/>
                <w:szCs w:val="24"/>
              </w:rPr>
              <w:t>§</w:t>
            </w:r>
          </w:p>
          <w:p w14:paraId="736057A1" w14:textId="77777777" w:rsidR="004F75B7" w:rsidRPr="004F75B7" w:rsidRDefault="004F75B7" w:rsidP="005D320B">
            <w:pPr>
              <w:jc w:val="center"/>
              <w:rPr>
                <w:rFonts w:ascii="Times New Roman" w:hAnsi="Times New Roman" w:cs="Times New Roman"/>
                <w:b/>
                <w:sz w:val="24"/>
                <w:szCs w:val="24"/>
              </w:rPr>
            </w:pPr>
            <w:r w:rsidRPr="004F75B7">
              <w:rPr>
                <w:rFonts w:ascii="Times New Roman" w:hAnsi="Times New Roman" w:cs="Times New Roman"/>
                <w:b/>
                <w:sz w:val="24"/>
                <w:szCs w:val="24"/>
              </w:rPr>
              <w:t>§</w:t>
            </w:r>
          </w:p>
          <w:p w14:paraId="520EB4A6" w14:textId="77777777" w:rsidR="004F75B7" w:rsidRPr="004F75B7" w:rsidRDefault="004F75B7" w:rsidP="005D320B">
            <w:pPr>
              <w:jc w:val="center"/>
              <w:rPr>
                <w:rFonts w:ascii="Times New Roman" w:hAnsi="Times New Roman" w:cs="Times New Roman"/>
                <w:b/>
                <w:sz w:val="24"/>
                <w:szCs w:val="24"/>
              </w:rPr>
            </w:pPr>
            <w:r w:rsidRPr="004F75B7">
              <w:rPr>
                <w:rFonts w:ascii="Times New Roman" w:hAnsi="Times New Roman" w:cs="Times New Roman"/>
                <w:b/>
                <w:sz w:val="24"/>
                <w:szCs w:val="24"/>
              </w:rPr>
              <w:t>§</w:t>
            </w:r>
          </w:p>
          <w:p w14:paraId="19351335" w14:textId="77777777" w:rsidR="004F75B7" w:rsidRPr="004F75B7" w:rsidRDefault="004F75B7" w:rsidP="005D320B">
            <w:pPr>
              <w:jc w:val="center"/>
              <w:rPr>
                <w:rFonts w:ascii="Times New Roman" w:hAnsi="Times New Roman" w:cs="Times New Roman"/>
                <w:b/>
                <w:sz w:val="24"/>
                <w:szCs w:val="24"/>
              </w:rPr>
            </w:pPr>
            <w:r w:rsidRPr="004F75B7">
              <w:rPr>
                <w:rFonts w:ascii="Times New Roman" w:hAnsi="Times New Roman" w:cs="Times New Roman"/>
                <w:b/>
                <w:sz w:val="24"/>
                <w:szCs w:val="24"/>
              </w:rPr>
              <w:t>§</w:t>
            </w:r>
          </w:p>
          <w:p w14:paraId="242E95FF" w14:textId="77777777" w:rsidR="004F75B7" w:rsidRPr="004F75B7" w:rsidRDefault="004F75B7" w:rsidP="005D320B">
            <w:pPr>
              <w:jc w:val="center"/>
              <w:rPr>
                <w:rFonts w:ascii="Times New Roman" w:hAnsi="Times New Roman" w:cs="Times New Roman"/>
                <w:b/>
                <w:sz w:val="24"/>
                <w:szCs w:val="24"/>
              </w:rPr>
            </w:pPr>
            <w:r w:rsidRPr="004F75B7">
              <w:rPr>
                <w:rFonts w:ascii="Times New Roman" w:hAnsi="Times New Roman" w:cs="Times New Roman"/>
                <w:b/>
                <w:sz w:val="24"/>
                <w:szCs w:val="24"/>
              </w:rPr>
              <w:t>§</w:t>
            </w:r>
          </w:p>
          <w:p w14:paraId="2A3D24E4" w14:textId="77777777" w:rsidR="004F75B7" w:rsidRPr="004F75B7" w:rsidRDefault="004F75B7" w:rsidP="005D320B">
            <w:pPr>
              <w:jc w:val="center"/>
              <w:rPr>
                <w:rFonts w:ascii="Times New Roman" w:hAnsi="Times New Roman" w:cs="Times New Roman"/>
                <w:b/>
                <w:sz w:val="24"/>
                <w:szCs w:val="24"/>
              </w:rPr>
            </w:pPr>
            <w:r w:rsidRPr="004F75B7">
              <w:rPr>
                <w:rFonts w:ascii="Times New Roman" w:hAnsi="Times New Roman" w:cs="Times New Roman"/>
                <w:b/>
                <w:sz w:val="24"/>
                <w:szCs w:val="24"/>
              </w:rPr>
              <w:t>§</w:t>
            </w:r>
          </w:p>
        </w:tc>
        <w:tc>
          <w:tcPr>
            <w:tcW w:w="4315" w:type="dxa"/>
          </w:tcPr>
          <w:p w14:paraId="06BCFCB9" w14:textId="77777777" w:rsidR="004F75B7" w:rsidRDefault="00CA700E" w:rsidP="005D320B">
            <w:pPr>
              <w:jc w:val="center"/>
              <w:rPr>
                <w:rFonts w:ascii="Times New Roman" w:hAnsi="Times New Roman" w:cs="Times New Roman"/>
                <w:b/>
                <w:sz w:val="24"/>
                <w:szCs w:val="24"/>
              </w:rPr>
            </w:pPr>
            <w:r>
              <w:rPr>
                <w:rFonts w:ascii="Times New Roman" w:hAnsi="Times New Roman" w:cs="Times New Roman"/>
                <w:b/>
                <w:sz w:val="24"/>
                <w:szCs w:val="24"/>
              </w:rPr>
              <w:t xml:space="preserve">PUBLIC UTILITY COMMISSION </w:t>
            </w:r>
          </w:p>
          <w:p w14:paraId="1B37FA09" w14:textId="77777777" w:rsidR="00CA700E" w:rsidRDefault="00CA700E" w:rsidP="005D320B">
            <w:pPr>
              <w:jc w:val="center"/>
              <w:rPr>
                <w:rFonts w:ascii="Times New Roman" w:hAnsi="Times New Roman" w:cs="Times New Roman"/>
                <w:b/>
                <w:sz w:val="24"/>
                <w:szCs w:val="24"/>
              </w:rPr>
            </w:pPr>
          </w:p>
          <w:p w14:paraId="4D7FE0EB" w14:textId="77777777" w:rsidR="00CA700E" w:rsidRPr="004F75B7" w:rsidRDefault="00CA700E" w:rsidP="005D3E42">
            <w:pPr>
              <w:jc w:val="center"/>
              <w:rPr>
                <w:rFonts w:ascii="Times New Roman" w:hAnsi="Times New Roman" w:cs="Times New Roman"/>
                <w:b/>
                <w:sz w:val="24"/>
                <w:szCs w:val="24"/>
              </w:rPr>
            </w:pPr>
            <w:r>
              <w:rPr>
                <w:rFonts w:ascii="Times New Roman" w:hAnsi="Times New Roman" w:cs="Times New Roman"/>
                <w:b/>
                <w:sz w:val="24"/>
                <w:szCs w:val="24"/>
              </w:rPr>
              <w:t>OF TEXAS</w:t>
            </w:r>
          </w:p>
        </w:tc>
      </w:tr>
    </w:tbl>
    <w:p w14:paraId="002872AC" w14:textId="77777777" w:rsidR="004F75B7" w:rsidRDefault="004F75B7" w:rsidP="004F75B7">
      <w:pPr>
        <w:jc w:val="center"/>
        <w:rPr>
          <w:b/>
        </w:rPr>
      </w:pPr>
    </w:p>
    <w:p w14:paraId="2AC3E336" w14:textId="77777777" w:rsidR="004F75B7" w:rsidRDefault="004F75B7" w:rsidP="004F75B7">
      <w:pPr>
        <w:jc w:val="center"/>
        <w:rPr>
          <w:b/>
        </w:rPr>
      </w:pPr>
      <w:r>
        <w:rPr>
          <w:b/>
        </w:rPr>
        <w:t xml:space="preserve">PROPOSED ORDER </w:t>
      </w:r>
    </w:p>
    <w:p w14:paraId="37F06756" w14:textId="77777777" w:rsidR="004F75B7" w:rsidRDefault="004F75B7" w:rsidP="004F75B7">
      <w:pPr>
        <w:jc w:val="center"/>
        <w:rPr>
          <w:b/>
        </w:rPr>
      </w:pPr>
    </w:p>
    <w:p w14:paraId="1CB91281" w14:textId="025C0FD1" w:rsidR="007D7E9C" w:rsidRDefault="004F75B7" w:rsidP="004F75B7">
      <w:pPr>
        <w:spacing w:line="480" w:lineRule="auto"/>
      </w:pPr>
      <w:r>
        <w:tab/>
        <w:t>This Order addresses the application of Liberty Utilities (Woodmark Sewer) Corp.</w:t>
      </w:r>
      <w:r w:rsidR="00866802">
        <w:t xml:space="preserve"> (Liberty Woodmark)</w:t>
      </w:r>
      <w:r>
        <w:t>, Liberty Utilities (Tall Timbers Sewer) Corp</w:t>
      </w:r>
      <w:r w:rsidR="00B33624">
        <w:t>. (Liberty Tall Timbers)</w:t>
      </w:r>
      <w:r>
        <w:t>, and Liberty Utilities (Sub) Corp.</w:t>
      </w:r>
      <w:r w:rsidR="00B33624">
        <w:t xml:space="preserve"> (LU (Sub) Corp.) (collectively, </w:t>
      </w:r>
      <w:r>
        <w:t>Liberty Utilities or Applicants)</w:t>
      </w:r>
      <w:r w:rsidR="00353435">
        <w:t>,</w:t>
      </w:r>
      <w:r>
        <w:t xml:space="preserve"> for </w:t>
      </w:r>
      <w:r w:rsidR="007D7E9C">
        <w:t xml:space="preserve">authority to change their </w:t>
      </w:r>
      <w:r w:rsidR="00132C04">
        <w:t>sewer</w:t>
      </w:r>
      <w:r>
        <w:t xml:space="preserve"> rates</w:t>
      </w:r>
      <w:r w:rsidR="007D7E9C">
        <w:t>.  The</w:t>
      </w:r>
      <w:r w:rsidR="00CF34FF">
        <w:t xml:space="preserve"> Applicants, </w:t>
      </w:r>
      <w:r w:rsidR="009F108C">
        <w:t>Public Utility Commission of Texas Staff (Staff), the Office of Public Utility Counsel (OPUC), the City of Tyler, Texas (Tyler), and the Intervenor Ratepayers represented by Ms. Katherine Carter (Intervenor Ratepayers)</w:t>
      </w:r>
      <w:r w:rsidR="009F108C">
        <w:rPr>
          <w:rStyle w:val="FootnoteReference"/>
        </w:rPr>
        <w:footnoteReference w:id="1"/>
      </w:r>
      <w:r w:rsidR="009F108C">
        <w:t xml:space="preserve"> (collectively, the Parties</w:t>
      </w:r>
      <w:r w:rsidR="00787814">
        <w:t xml:space="preserve"> or Signatories</w:t>
      </w:r>
      <w:r w:rsidR="009F108C">
        <w:t>)</w:t>
      </w:r>
      <w:r w:rsidR="007D7E9C">
        <w:t xml:space="preserve"> filed a Unanimous Stipulation and Settlement Agreement (Stipulation) and a Unanimous Stipulation and Settlement Agreement Addendum (Addendum) that resolve all issues in this proceeding.  The Commission approve</w:t>
      </w:r>
      <w:r w:rsidR="00FA22E7">
        <w:t>s</w:t>
      </w:r>
      <w:r w:rsidR="007D7E9C">
        <w:t xml:space="preserve"> changes in rates for Liberty Tall Timbers and Liberty Woodmark consistent with the Stipulation and Addendum to the extent provided in this Order.</w:t>
      </w:r>
    </w:p>
    <w:p w14:paraId="0307A48D" w14:textId="77777777" w:rsidR="007D7E9C" w:rsidRDefault="007D7E9C" w:rsidP="007D7E9C">
      <w:pPr>
        <w:spacing w:line="480" w:lineRule="auto"/>
        <w:jc w:val="center"/>
        <w:rPr>
          <w:b/>
        </w:rPr>
      </w:pPr>
      <w:r>
        <w:rPr>
          <w:b/>
        </w:rPr>
        <w:t xml:space="preserve">I. </w:t>
      </w:r>
      <w:r w:rsidR="00933568">
        <w:rPr>
          <w:b/>
        </w:rPr>
        <w:t xml:space="preserve"> </w:t>
      </w:r>
      <w:r>
        <w:rPr>
          <w:b/>
        </w:rPr>
        <w:t>Discussion</w:t>
      </w:r>
    </w:p>
    <w:p w14:paraId="574065DA" w14:textId="77777777" w:rsidR="007D7E9C" w:rsidRPr="007D7E9C" w:rsidRDefault="00933568" w:rsidP="00933568">
      <w:pPr>
        <w:spacing w:line="480" w:lineRule="auto"/>
        <w:jc w:val="left"/>
        <w:rPr>
          <w:b/>
        </w:rPr>
      </w:pPr>
      <w:r>
        <w:rPr>
          <w:b/>
        </w:rPr>
        <w:t>A.</w:t>
      </w:r>
      <w:r>
        <w:rPr>
          <w:b/>
        </w:rPr>
        <w:tab/>
      </w:r>
      <w:r w:rsidR="007D7E9C">
        <w:rPr>
          <w:b/>
        </w:rPr>
        <w:t>The Application</w:t>
      </w:r>
    </w:p>
    <w:p w14:paraId="5C90319D" w14:textId="7FC3BE10" w:rsidR="00FB5DAD" w:rsidRDefault="007D7E9C" w:rsidP="007D7E9C">
      <w:pPr>
        <w:spacing w:line="480" w:lineRule="auto"/>
        <w:ind w:firstLine="720"/>
      </w:pPr>
      <w:r>
        <w:t>On September 2, 2016, Liberty Tall Timbers (CCN No. 20694) and Liberty Woodmark (CCN No. 20679) filed a joint application with the Commission and with Tyler</w:t>
      </w:r>
      <w:r w:rsidR="009F108C">
        <w:t xml:space="preserve"> </w:t>
      </w:r>
      <w:r>
        <w:t xml:space="preserve">requesting </w:t>
      </w:r>
      <w:r>
        <w:lastRenderedPageBreak/>
        <w:t>authority for sewer rate and tariff changes (Applicatio</w:t>
      </w:r>
      <w:r w:rsidR="00C81714">
        <w:t>n</w:t>
      </w:r>
      <w:r>
        <w:t>)</w:t>
      </w:r>
      <w:r w:rsidR="00575E03">
        <w:t xml:space="preserve"> pursuant to Texas Water Code (TWC) </w:t>
      </w:r>
      <w:r w:rsidR="00575E03">
        <w:rPr>
          <w:rFonts w:cs="Times New Roman"/>
        </w:rPr>
        <w:t>§</w:t>
      </w:r>
      <w:r w:rsidR="00411EE2">
        <w:rPr>
          <w:rFonts w:cs="Times New Roman"/>
        </w:rPr>
        <w:t> </w:t>
      </w:r>
      <w:r w:rsidR="00575E03">
        <w:t>13.1871 applicable to Class B water and sewer utilities.</w:t>
      </w:r>
      <w:r w:rsidR="00575E03">
        <w:rPr>
          <w:rStyle w:val="FootnoteReference"/>
        </w:rPr>
        <w:footnoteReference w:id="2"/>
      </w:r>
      <w:r w:rsidR="00575E03">
        <w:t xml:space="preserve">  </w:t>
      </w:r>
      <w:r w:rsidR="00FB5DAD">
        <w:t xml:space="preserve">The Application to Tyler was for sewer rate and tariff changes for Liberty Tall Timbers customers inside the Tyler corporate limits.  </w:t>
      </w:r>
      <w:r w:rsidR="00FA22E7">
        <w:t>Liberty Tall Timbers and Liberty Woodmark</w:t>
      </w:r>
      <w:r w:rsidR="0079465F">
        <w:t xml:space="preserve"> corrected</w:t>
      </w:r>
      <w:r w:rsidR="00FA22E7">
        <w:t xml:space="preserve"> </w:t>
      </w:r>
      <w:r w:rsidR="0079465F">
        <w:t xml:space="preserve">and clarified </w:t>
      </w:r>
      <w:r w:rsidR="00FA22E7">
        <w:t xml:space="preserve">certain Application items </w:t>
      </w:r>
      <w:r w:rsidR="00D95DEA">
        <w:t xml:space="preserve">in a filing submitted </w:t>
      </w:r>
      <w:r w:rsidR="00FA22E7">
        <w:t>on October 17, 2016</w:t>
      </w:r>
      <w:r w:rsidR="00D95DEA">
        <w:t xml:space="preserve"> (Application Supplement). The Application </w:t>
      </w:r>
      <w:r w:rsidR="009F108C">
        <w:t>S</w:t>
      </w:r>
      <w:r w:rsidR="00D95DEA">
        <w:t>upplement revised</w:t>
      </w:r>
      <w:r w:rsidR="0079465F">
        <w:t xml:space="preserve"> </w:t>
      </w:r>
      <w:r w:rsidR="00FB5DAD">
        <w:t>the</w:t>
      </w:r>
      <w:r w:rsidR="00D95DEA">
        <w:t xml:space="preserve"> </w:t>
      </w:r>
      <w:r w:rsidR="00593F23">
        <w:t xml:space="preserve">application </w:t>
      </w:r>
      <w:r w:rsidR="0079465F">
        <w:t>notice originally provided on or about September 7, 2016</w:t>
      </w:r>
      <w:r w:rsidR="00353435">
        <w:t>, which</w:t>
      </w:r>
      <w:r w:rsidR="00FB5DAD">
        <w:t xml:space="preserve"> </w:t>
      </w:r>
      <w:r w:rsidR="00D95DEA">
        <w:t xml:space="preserve">had </w:t>
      </w:r>
      <w:r w:rsidR="00FB5DAD">
        <w:t xml:space="preserve">included a </w:t>
      </w:r>
      <w:r w:rsidR="0079465F">
        <w:t>proposed effective date of November 1, 2016</w:t>
      </w:r>
      <w:r w:rsidR="00FA22E7">
        <w:t>.</w:t>
      </w:r>
      <w:r w:rsidR="00575E03">
        <w:t xml:space="preserve">  </w:t>
      </w:r>
      <w:r w:rsidR="00D95DEA">
        <w:t xml:space="preserve">On December 21, 2016, the Applicants submitted proof of notice, wherein the Applicants stated that they had provided the </w:t>
      </w:r>
      <w:r w:rsidR="0079465F">
        <w:t>corrected notice on or about December 12, 2016</w:t>
      </w:r>
      <w:r w:rsidR="00D95DEA">
        <w:t>. The corrected notice</w:t>
      </w:r>
      <w:r w:rsidR="00353435">
        <w:t xml:space="preserve"> </w:t>
      </w:r>
      <w:r w:rsidR="00FB5DAD">
        <w:t>included a new proposed</w:t>
      </w:r>
      <w:r w:rsidR="00367EB8">
        <w:t xml:space="preserve"> effective date of</w:t>
      </w:r>
      <w:r w:rsidR="0079465F">
        <w:t xml:space="preserve"> Febr</w:t>
      </w:r>
      <w:r w:rsidR="00575E03">
        <w:t>uary 1, 2017</w:t>
      </w:r>
      <w:r w:rsidR="00352746">
        <w:t xml:space="preserve">.  </w:t>
      </w:r>
    </w:p>
    <w:p w14:paraId="22CC4794" w14:textId="77777777" w:rsidR="00994EDD" w:rsidRDefault="007D7E9C" w:rsidP="007D7E9C">
      <w:pPr>
        <w:spacing w:line="480" w:lineRule="auto"/>
        <w:ind w:firstLine="720"/>
      </w:pPr>
      <w:r>
        <w:t xml:space="preserve">The test year used in the Application </w:t>
      </w:r>
      <w:r w:rsidR="00D807AB">
        <w:t xml:space="preserve">and Application </w:t>
      </w:r>
      <w:r w:rsidR="00D95DEA">
        <w:t xml:space="preserve">Supplement </w:t>
      </w:r>
      <w:r>
        <w:t>was the twelve-month period from January 1, 2015 through December 31, 2015</w:t>
      </w:r>
      <w:r w:rsidR="00380525">
        <w:t xml:space="preserve">, adjusted for </w:t>
      </w:r>
      <w:r w:rsidR="007E4333">
        <w:t xml:space="preserve">certain </w:t>
      </w:r>
      <w:r w:rsidR="00380525">
        <w:t>known and measurable changes</w:t>
      </w:r>
      <w:r>
        <w:t>.</w:t>
      </w:r>
      <w:r w:rsidR="00FA22E7">
        <w:t xml:space="preserve">  The Application</w:t>
      </w:r>
      <w:r w:rsidR="00367EB8">
        <w:t xml:space="preserve"> </w:t>
      </w:r>
      <w:r w:rsidR="00D95DEA">
        <w:t xml:space="preserve">Supplement </w:t>
      </w:r>
      <w:r w:rsidR="00FA22E7">
        <w:t>requested consolidated rates in two</w:t>
      </w:r>
      <w:r w:rsidR="00994EDD">
        <w:t xml:space="preserve"> </w:t>
      </w:r>
      <w:r w:rsidR="00FA22E7">
        <w:t>phases with a</w:t>
      </w:r>
      <w:r w:rsidR="00BC16DD">
        <w:t>n annual</w:t>
      </w:r>
      <w:r w:rsidR="00FA22E7">
        <w:t xml:space="preserve"> revenue requirement of </w:t>
      </w:r>
      <w:r w:rsidR="00994EDD">
        <w:t xml:space="preserve">$3,806,414 </w:t>
      </w:r>
      <w:r w:rsidR="00FA22E7">
        <w:t>in Phase 1</w:t>
      </w:r>
      <w:r w:rsidR="00994EDD">
        <w:t>, plus an additional $955,98</w:t>
      </w:r>
      <w:r w:rsidR="00BC16DD">
        <w:t xml:space="preserve">1 annually </w:t>
      </w:r>
      <w:r w:rsidR="00994EDD">
        <w:t>in</w:t>
      </w:r>
      <w:r w:rsidR="00FA22E7">
        <w:t xml:space="preserve"> Phase 2</w:t>
      </w:r>
      <w:r w:rsidR="00BC16DD">
        <w:t>, bringing the total annual revenue requirement requested to approximately $4,762,395</w:t>
      </w:r>
      <w:r w:rsidR="00FA22E7">
        <w:t>.</w:t>
      </w:r>
      <w:r w:rsidR="00994EDD">
        <w:t xml:space="preserve">  This represented revenue increases of $1,009,792 in Phase 1 and $955,981 in Phase 2 for a total increase of $1,965,773</w:t>
      </w:r>
      <w:r w:rsidR="00BC16DD">
        <w:t xml:space="preserve"> annually</w:t>
      </w:r>
      <w:r w:rsidR="00994EDD">
        <w:t xml:space="preserve"> following </w:t>
      </w:r>
      <w:r w:rsidR="00BC16DD">
        <w:t xml:space="preserve">implementation of </w:t>
      </w:r>
      <w:r w:rsidR="00994EDD">
        <w:t xml:space="preserve">both </w:t>
      </w:r>
      <w:r w:rsidR="00BC16DD">
        <w:t xml:space="preserve">rate </w:t>
      </w:r>
      <w:r w:rsidR="00994EDD">
        <w:t>phases.</w:t>
      </w:r>
    </w:p>
    <w:p w14:paraId="11E2AFB1" w14:textId="135F717D" w:rsidR="00575E03" w:rsidRDefault="00994EDD" w:rsidP="007D7E9C">
      <w:pPr>
        <w:spacing w:line="480" w:lineRule="auto"/>
        <w:ind w:firstLine="720"/>
      </w:pPr>
      <w:r>
        <w:t>After Liberty Tall Timbers and Liberty Woodmark filed the Application</w:t>
      </w:r>
      <w:r w:rsidR="00D95DEA">
        <w:t xml:space="preserve"> Supplement</w:t>
      </w:r>
      <w:r>
        <w:t>, the Commission ordered th</w:t>
      </w:r>
      <w:r w:rsidR="00CF3F4D">
        <w:t xml:space="preserve">e addition of </w:t>
      </w:r>
      <w:r>
        <w:t>(Sub) Corp. as a</w:t>
      </w:r>
      <w:r w:rsidR="00FB5DAD">
        <w:t xml:space="preserve">n </w:t>
      </w:r>
      <w:r w:rsidR="00740629">
        <w:t>a</w:t>
      </w:r>
      <w:r>
        <w:t xml:space="preserve">pplicant.  Also, the Tax Cuts and Jobs Act </w:t>
      </w:r>
      <w:r w:rsidR="00A738DE">
        <w:t xml:space="preserve">of 2017 </w:t>
      </w:r>
      <w:r>
        <w:t xml:space="preserve">(TCJA) was </w:t>
      </w:r>
      <w:r w:rsidR="00575E03">
        <w:t>enacted into law,</w:t>
      </w:r>
      <w:r w:rsidR="00575E03">
        <w:rPr>
          <w:rStyle w:val="FootnoteReference"/>
        </w:rPr>
        <w:footnoteReference w:id="3"/>
      </w:r>
      <w:r w:rsidR="00575E03">
        <w:t xml:space="preserve"> which raised questions regarding how the TCJA should be reflected in rates approved in this proceeding.</w:t>
      </w:r>
    </w:p>
    <w:p w14:paraId="407AD23F" w14:textId="77777777" w:rsidR="00575E03" w:rsidRPr="00575E03" w:rsidRDefault="00575E03" w:rsidP="00933568">
      <w:pPr>
        <w:spacing w:line="480" w:lineRule="auto"/>
        <w:jc w:val="left"/>
        <w:rPr>
          <w:b/>
        </w:rPr>
      </w:pPr>
      <w:r>
        <w:rPr>
          <w:b/>
        </w:rPr>
        <w:lastRenderedPageBreak/>
        <w:t xml:space="preserve">B. </w:t>
      </w:r>
      <w:r w:rsidR="00933568">
        <w:rPr>
          <w:b/>
        </w:rPr>
        <w:tab/>
      </w:r>
      <w:r>
        <w:rPr>
          <w:b/>
        </w:rPr>
        <w:t>The Settlement Agreement</w:t>
      </w:r>
    </w:p>
    <w:p w14:paraId="42E09686" w14:textId="69633BDB" w:rsidR="00DD6403" w:rsidRDefault="00CF3F4D" w:rsidP="007D7E9C">
      <w:pPr>
        <w:spacing w:line="480" w:lineRule="auto"/>
        <w:ind w:firstLine="720"/>
      </w:pPr>
      <w:r>
        <w:t xml:space="preserve">The Parties’ Stipulation was effective </w:t>
      </w:r>
      <w:r w:rsidR="00352746">
        <w:t>on November 14, 2017</w:t>
      </w:r>
      <w:r w:rsidR="006F6031">
        <w:t>, and filed with the Commission the following day</w:t>
      </w:r>
      <w:r w:rsidR="00352746">
        <w:t>.  However, the Stipulation required certain implementation actions by the Parties</w:t>
      </w:r>
      <w:r w:rsidR="00DD6403">
        <w:t>, including</w:t>
      </w:r>
      <w:r w:rsidR="00FB5DAD">
        <w:t xml:space="preserve"> but </w:t>
      </w:r>
      <w:r w:rsidR="00F90F8D">
        <w:t xml:space="preserve">not </w:t>
      </w:r>
      <w:r w:rsidR="00FB5DAD">
        <w:t>limited to</w:t>
      </w:r>
      <w:r w:rsidR="00DD6403">
        <w:t xml:space="preserve"> consideration of whether the Parties would request Commission approval for volumetric sewer rates instead of flat monthly sewer rates.  </w:t>
      </w:r>
    </w:p>
    <w:p w14:paraId="3CFB7224" w14:textId="77777777" w:rsidR="00DD6403" w:rsidRDefault="00CF3F4D" w:rsidP="007D7E9C">
      <w:pPr>
        <w:spacing w:line="480" w:lineRule="auto"/>
        <w:ind w:firstLine="720"/>
      </w:pPr>
      <w:r>
        <w:t>The Parties’ Addendum was effective October 2, 2018</w:t>
      </w:r>
      <w:r w:rsidR="00DD6403">
        <w:t>.  The Addendum describes resolution of the outstanding Stipulation items, reflects TCJA considerations, and reflects the Parties’ final agreement on rates.</w:t>
      </w:r>
      <w:r w:rsidR="00A41D52">
        <w:t xml:space="preserve">  The rates reflected in the Addendum include unconsolidated rates in three phases that</w:t>
      </w:r>
      <w:r>
        <w:t xml:space="preserve">, using test year billing determinants and after subtracting </w:t>
      </w:r>
      <w:r w:rsidR="00A41D52">
        <w:t>revenues es</w:t>
      </w:r>
      <w:r>
        <w:t>timated</w:t>
      </w:r>
      <w:r w:rsidR="00A41D52">
        <w:t xml:space="preserve"> to be returned through Federal Tax Change Credit Riders</w:t>
      </w:r>
      <w:r>
        <w:t xml:space="preserve">, are estimated to produce </w:t>
      </w:r>
      <w:r w:rsidR="00BC16DD">
        <w:t xml:space="preserve">annual </w:t>
      </w:r>
      <w:r>
        <w:t>revenues in the following approximate amounts</w:t>
      </w:r>
      <w:r w:rsidR="00A41D52">
        <w:t>:</w:t>
      </w:r>
      <w:r w:rsidR="0041695A">
        <w:t xml:space="preserve"> </w:t>
      </w:r>
    </w:p>
    <w:p w14:paraId="1556924B" w14:textId="77777777" w:rsidR="0041695A" w:rsidRPr="007B15A7" w:rsidRDefault="0041695A" w:rsidP="00933568">
      <w:pPr>
        <w:tabs>
          <w:tab w:val="left" w:pos="2160"/>
        </w:tabs>
        <w:spacing w:line="480" w:lineRule="auto"/>
        <w:ind w:left="1440"/>
        <w:rPr>
          <w:i/>
        </w:rPr>
      </w:pPr>
      <w:r w:rsidRPr="007B15A7">
        <w:rPr>
          <w:i/>
        </w:rPr>
        <w:t>Liberty Tall Timbers</w:t>
      </w:r>
      <w:r w:rsidR="007B15A7" w:rsidRPr="007B15A7">
        <w:rPr>
          <w:i/>
        </w:rPr>
        <w:t>:</w:t>
      </w:r>
    </w:p>
    <w:p w14:paraId="3536F81A" w14:textId="62E08D43" w:rsidR="0041695A" w:rsidRPr="008171FB" w:rsidRDefault="008171FB" w:rsidP="008171FB">
      <w:pPr>
        <w:tabs>
          <w:tab w:val="left" w:pos="2160"/>
        </w:tabs>
        <w:ind w:left="1440"/>
      </w:pPr>
      <w:r>
        <w:tab/>
      </w:r>
      <w:r w:rsidR="0041695A" w:rsidRPr="008171FB">
        <w:t>Phase 1</w:t>
      </w:r>
      <w:r w:rsidR="0041695A" w:rsidRPr="008171FB">
        <w:tab/>
        <w:t>$1,</w:t>
      </w:r>
      <w:r w:rsidR="00787814" w:rsidRPr="008171FB">
        <w:t>091,680</w:t>
      </w:r>
    </w:p>
    <w:p w14:paraId="18D8C168" w14:textId="5B983A79" w:rsidR="0041695A" w:rsidRPr="008171FB" w:rsidRDefault="008171FB" w:rsidP="008171FB">
      <w:pPr>
        <w:tabs>
          <w:tab w:val="left" w:pos="2160"/>
        </w:tabs>
        <w:ind w:left="1440"/>
      </w:pPr>
      <w:r>
        <w:tab/>
      </w:r>
      <w:r w:rsidR="0041695A" w:rsidRPr="008171FB">
        <w:t>Phase 2</w:t>
      </w:r>
      <w:r w:rsidR="0041695A" w:rsidRPr="008171FB">
        <w:tab/>
        <w:t>$1,</w:t>
      </w:r>
      <w:r w:rsidR="00787814" w:rsidRPr="008171FB">
        <w:t>308,250</w:t>
      </w:r>
    </w:p>
    <w:p w14:paraId="4E8082F4" w14:textId="7A082CD0" w:rsidR="0041695A" w:rsidRPr="008171FB" w:rsidRDefault="008171FB" w:rsidP="00933568">
      <w:pPr>
        <w:tabs>
          <w:tab w:val="left" w:pos="2160"/>
        </w:tabs>
        <w:spacing w:line="480" w:lineRule="auto"/>
        <w:ind w:left="1440"/>
      </w:pPr>
      <w:r>
        <w:tab/>
      </w:r>
      <w:r w:rsidR="0041695A" w:rsidRPr="008171FB">
        <w:t>Phase 3</w:t>
      </w:r>
      <w:r w:rsidR="0041695A" w:rsidRPr="008171FB">
        <w:tab/>
        <w:t>$1,</w:t>
      </w:r>
      <w:r w:rsidR="00787814" w:rsidRPr="008171FB">
        <w:t>371,613</w:t>
      </w:r>
    </w:p>
    <w:p w14:paraId="332CB21E" w14:textId="77777777" w:rsidR="0041695A" w:rsidRPr="008171FB" w:rsidRDefault="0041695A" w:rsidP="00933568">
      <w:pPr>
        <w:tabs>
          <w:tab w:val="left" w:pos="2160"/>
        </w:tabs>
        <w:spacing w:line="480" w:lineRule="auto"/>
        <w:ind w:left="1440"/>
        <w:rPr>
          <w:b/>
        </w:rPr>
      </w:pPr>
      <w:r w:rsidRPr="008171FB">
        <w:rPr>
          <w:i/>
        </w:rPr>
        <w:t>Liberty Woodmark</w:t>
      </w:r>
      <w:r w:rsidR="007B15A7" w:rsidRPr="008171FB">
        <w:rPr>
          <w:b/>
        </w:rPr>
        <w:t>:</w:t>
      </w:r>
    </w:p>
    <w:p w14:paraId="54B9FCD1" w14:textId="26AC273E" w:rsidR="0041695A" w:rsidRPr="008171FB" w:rsidRDefault="008171FB" w:rsidP="008171FB">
      <w:pPr>
        <w:tabs>
          <w:tab w:val="left" w:pos="2160"/>
        </w:tabs>
        <w:ind w:left="1440"/>
      </w:pPr>
      <w:r>
        <w:tab/>
      </w:r>
      <w:r w:rsidR="0041695A" w:rsidRPr="008171FB">
        <w:t>Phase 1</w:t>
      </w:r>
      <w:r w:rsidR="0041695A" w:rsidRPr="008171FB">
        <w:tab/>
        <w:t>$1,54</w:t>
      </w:r>
      <w:r w:rsidR="00787814" w:rsidRPr="008171FB">
        <w:t>3,913</w:t>
      </w:r>
    </w:p>
    <w:p w14:paraId="7E24C88C" w14:textId="356A3CC8" w:rsidR="0041695A" w:rsidRPr="008171FB" w:rsidRDefault="008171FB" w:rsidP="008171FB">
      <w:pPr>
        <w:tabs>
          <w:tab w:val="left" w:pos="2160"/>
        </w:tabs>
        <w:ind w:left="1440"/>
      </w:pPr>
      <w:r>
        <w:tab/>
      </w:r>
      <w:r w:rsidR="0041695A" w:rsidRPr="008171FB">
        <w:t>Phase 2</w:t>
      </w:r>
      <w:r w:rsidR="0041695A" w:rsidRPr="008171FB">
        <w:tab/>
        <w:t>$1,66</w:t>
      </w:r>
      <w:r w:rsidR="00787814" w:rsidRPr="008171FB">
        <w:t>1,131</w:t>
      </w:r>
    </w:p>
    <w:p w14:paraId="642E8EE7" w14:textId="47AA9488" w:rsidR="0041695A" w:rsidRPr="008171FB" w:rsidRDefault="008171FB" w:rsidP="00933568">
      <w:pPr>
        <w:tabs>
          <w:tab w:val="left" w:pos="2160"/>
        </w:tabs>
        <w:spacing w:line="480" w:lineRule="auto"/>
        <w:ind w:left="1440"/>
      </w:pPr>
      <w:r>
        <w:tab/>
      </w:r>
      <w:r w:rsidR="0041695A" w:rsidRPr="008171FB">
        <w:t>Phase 3</w:t>
      </w:r>
      <w:r w:rsidR="0041695A" w:rsidRPr="008171FB">
        <w:tab/>
        <w:t>$1,8</w:t>
      </w:r>
      <w:r w:rsidR="00787814" w:rsidRPr="008171FB">
        <w:t>79,991</w:t>
      </w:r>
    </w:p>
    <w:p w14:paraId="692D316C" w14:textId="77777777" w:rsidR="0041695A" w:rsidRPr="008171FB" w:rsidRDefault="00CF3F4D" w:rsidP="00933568">
      <w:pPr>
        <w:tabs>
          <w:tab w:val="left" w:pos="2160"/>
        </w:tabs>
        <w:spacing w:line="480" w:lineRule="auto"/>
        <w:ind w:left="1440"/>
        <w:rPr>
          <w:i/>
        </w:rPr>
      </w:pPr>
      <w:r w:rsidRPr="008171FB">
        <w:rPr>
          <w:i/>
        </w:rPr>
        <w:t>Liberty Tall Timbers and Liberty Woodmark Combined Total</w:t>
      </w:r>
      <w:r w:rsidR="007B15A7" w:rsidRPr="008171FB">
        <w:rPr>
          <w:i/>
        </w:rPr>
        <w:t>:</w:t>
      </w:r>
    </w:p>
    <w:p w14:paraId="05CDDF98" w14:textId="7610F102" w:rsidR="0041695A" w:rsidRPr="008171FB" w:rsidRDefault="008171FB" w:rsidP="008171FB">
      <w:pPr>
        <w:tabs>
          <w:tab w:val="left" w:pos="2160"/>
        </w:tabs>
        <w:ind w:left="1440"/>
      </w:pPr>
      <w:r>
        <w:tab/>
      </w:r>
      <w:r w:rsidR="0041695A" w:rsidRPr="008171FB">
        <w:t>Phase 1</w:t>
      </w:r>
      <w:r w:rsidR="00933568" w:rsidRPr="008171FB">
        <w:t xml:space="preserve"> </w:t>
      </w:r>
      <w:r w:rsidR="0041695A" w:rsidRPr="008171FB">
        <w:tab/>
        <w:t>$2,</w:t>
      </w:r>
      <w:r w:rsidR="00787814" w:rsidRPr="008171FB">
        <w:t>635,592</w:t>
      </w:r>
    </w:p>
    <w:p w14:paraId="46077826" w14:textId="02FABE22" w:rsidR="0041695A" w:rsidRPr="008171FB" w:rsidRDefault="008171FB" w:rsidP="008171FB">
      <w:pPr>
        <w:tabs>
          <w:tab w:val="left" w:pos="2160"/>
        </w:tabs>
        <w:ind w:left="1440"/>
      </w:pPr>
      <w:r>
        <w:tab/>
      </w:r>
      <w:r w:rsidR="0041695A" w:rsidRPr="008171FB">
        <w:t>Phase 2</w:t>
      </w:r>
      <w:r w:rsidR="0041695A" w:rsidRPr="008171FB">
        <w:tab/>
        <w:t>$</w:t>
      </w:r>
      <w:r w:rsidR="00787814" w:rsidRPr="008171FB">
        <w:t>2,969,381</w:t>
      </w:r>
    </w:p>
    <w:p w14:paraId="279930E8" w14:textId="3D7B656F" w:rsidR="00A41D52" w:rsidRDefault="008171FB" w:rsidP="008171FB">
      <w:pPr>
        <w:tabs>
          <w:tab w:val="left" w:pos="2160"/>
        </w:tabs>
        <w:ind w:left="1440"/>
      </w:pPr>
      <w:r>
        <w:tab/>
      </w:r>
      <w:r w:rsidR="0041695A" w:rsidRPr="008171FB">
        <w:t>Phase 3</w:t>
      </w:r>
      <w:r w:rsidR="0041695A" w:rsidRPr="008171FB">
        <w:tab/>
        <w:t>$3,</w:t>
      </w:r>
      <w:r w:rsidR="00787814" w:rsidRPr="008171FB">
        <w:t>251,604</w:t>
      </w:r>
    </w:p>
    <w:p w14:paraId="434F4DAA" w14:textId="77777777" w:rsidR="008171FB" w:rsidRDefault="008171FB" w:rsidP="008171FB">
      <w:pPr>
        <w:tabs>
          <w:tab w:val="left" w:pos="2160"/>
        </w:tabs>
        <w:ind w:left="1440"/>
      </w:pPr>
    </w:p>
    <w:p w14:paraId="3AF60BB9" w14:textId="6C066F49" w:rsidR="0045762C" w:rsidRDefault="00DD6403" w:rsidP="00CF3F4D">
      <w:pPr>
        <w:spacing w:line="480" w:lineRule="auto"/>
        <w:ind w:firstLine="720"/>
      </w:pPr>
      <w:r>
        <w:t xml:space="preserve">The Parties </w:t>
      </w:r>
      <w:r w:rsidR="00787814">
        <w:t>all</w:t>
      </w:r>
      <w:r>
        <w:t xml:space="preserve"> signed the Stipulation and Addendum</w:t>
      </w:r>
      <w:r w:rsidR="00787814">
        <w:t xml:space="preserve">.  </w:t>
      </w:r>
      <w:r>
        <w:t xml:space="preserve">The Stipulation and Addendum </w:t>
      </w:r>
      <w:r w:rsidR="00787814">
        <w:t xml:space="preserve">executed by the Signatories </w:t>
      </w:r>
      <w:r w:rsidR="004F75B7">
        <w:t>resolve all issues in this proceeding.</w:t>
      </w:r>
    </w:p>
    <w:p w14:paraId="0C2C9113" w14:textId="77777777" w:rsidR="004F75B7" w:rsidRDefault="004F75B7" w:rsidP="0045762C">
      <w:pPr>
        <w:spacing w:line="480" w:lineRule="auto"/>
        <w:ind w:firstLine="720"/>
      </w:pPr>
      <w:r>
        <w:t xml:space="preserve">The </w:t>
      </w:r>
      <w:r w:rsidR="00CF3F4D">
        <w:t>Commission</w:t>
      </w:r>
      <w:r>
        <w:t xml:space="preserve"> adopts the following findings of fact and conclusions of law.</w:t>
      </w:r>
    </w:p>
    <w:p w14:paraId="24C649B7" w14:textId="77777777" w:rsidR="00CA700E" w:rsidRDefault="00CA700E" w:rsidP="00CA700E">
      <w:pPr>
        <w:ind w:firstLine="720"/>
      </w:pPr>
    </w:p>
    <w:p w14:paraId="6606B3B7" w14:textId="77777777" w:rsidR="004F75B7" w:rsidRDefault="004F75B7" w:rsidP="00933568">
      <w:pPr>
        <w:keepNext/>
        <w:keepLines/>
        <w:spacing w:line="480" w:lineRule="auto"/>
        <w:jc w:val="center"/>
      </w:pPr>
      <w:r w:rsidRPr="00490A33">
        <w:rPr>
          <w:b/>
        </w:rPr>
        <w:t>I</w:t>
      </w:r>
      <w:r w:rsidR="008724E0">
        <w:rPr>
          <w:b/>
        </w:rPr>
        <w:t>I</w:t>
      </w:r>
      <w:r w:rsidRPr="00490A33">
        <w:rPr>
          <w:b/>
        </w:rPr>
        <w:t xml:space="preserve">.  </w:t>
      </w:r>
      <w:r w:rsidR="0045762C">
        <w:rPr>
          <w:b/>
        </w:rPr>
        <w:t>Findings of Fact</w:t>
      </w:r>
    </w:p>
    <w:p w14:paraId="2A296333" w14:textId="77777777" w:rsidR="00EC49F7" w:rsidRPr="0045762C" w:rsidRDefault="00680291" w:rsidP="00933568">
      <w:pPr>
        <w:keepNext/>
        <w:keepLines/>
        <w:spacing w:line="480" w:lineRule="auto"/>
        <w:rPr>
          <w:b/>
          <w:i/>
        </w:rPr>
      </w:pPr>
      <w:r>
        <w:rPr>
          <w:b/>
          <w:i/>
          <w:u w:val="single"/>
        </w:rPr>
        <w:t>Applicants</w:t>
      </w:r>
    </w:p>
    <w:p w14:paraId="10CF6EB3" w14:textId="77777777" w:rsidR="00680291" w:rsidRDefault="00680291" w:rsidP="00933568">
      <w:pPr>
        <w:keepNext/>
        <w:keepLines/>
        <w:spacing w:line="480" w:lineRule="auto"/>
        <w:ind w:left="720" w:hanging="720"/>
      </w:pPr>
      <w:r>
        <w:t>1.</w:t>
      </w:r>
      <w:r>
        <w:tab/>
        <w:t>Liberty Utilities (Tall Timbers Sewer) Corp. is incorporated under the laws of the State of Texas</w:t>
      </w:r>
      <w:r w:rsidR="003E46BB">
        <w:t xml:space="preserve">, </w:t>
      </w:r>
      <w:r>
        <w:t>is a wholly owned subsidiary of Liberty Utilities (Sub) Corp.</w:t>
      </w:r>
      <w:r w:rsidR="003E46BB">
        <w:t xml:space="preserve">, and served approximately 2,079 residential and commercial customer connections as of the end of 2015 (the test year). </w:t>
      </w:r>
    </w:p>
    <w:p w14:paraId="00D69456" w14:textId="77777777" w:rsidR="00680291" w:rsidRDefault="00680291" w:rsidP="00812336">
      <w:pPr>
        <w:spacing w:line="480" w:lineRule="auto"/>
        <w:ind w:left="720" w:hanging="720"/>
      </w:pPr>
      <w:r>
        <w:t>2.</w:t>
      </w:r>
      <w:r>
        <w:tab/>
        <w:t>Liberty Utilities (Woodmark Sewer) Corp. is incorporated under the laws of the State of Texas</w:t>
      </w:r>
      <w:r w:rsidR="003E46BB">
        <w:t xml:space="preserve">, </w:t>
      </w:r>
      <w:r>
        <w:t>is a wholly owned subsidiary of Liberty Utilities (Sub) Corp.</w:t>
      </w:r>
      <w:r w:rsidR="003E46BB">
        <w:t>, and served approximately 1,660 residential and commercial customer connections as of the end of 2015 (the test year).</w:t>
      </w:r>
    </w:p>
    <w:p w14:paraId="43054969" w14:textId="77777777" w:rsidR="00680291" w:rsidRDefault="00680291" w:rsidP="00812336">
      <w:pPr>
        <w:spacing w:line="480" w:lineRule="auto"/>
        <w:ind w:left="720" w:hanging="720"/>
      </w:pPr>
      <w:r>
        <w:t>3.</w:t>
      </w:r>
      <w:r>
        <w:tab/>
        <w:t xml:space="preserve">Liberty Utilities (Sub) Corp. is incorporated under the laws of the State of </w:t>
      </w:r>
      <w:r w:rsidR="00411EE2">
        <w:t xml:space="preserve">Delaware </w:t>
      </w:r>
      <w:r>
        <w:t>and is a wholly owned subsidiary of Liberty Utilities Co., a Delaware corporation that operates regulated gas, water, sewer and electric utilities in eleven states – Arizona, Arkansas, California, Georgia, Illinois, Iowa, Massachusetts, Missouri, Montana, New Hampshire, and Texas.</w:t>
      </w:r>
    </w:p>
    <w:p w14:paraId="3CDE1464" w14:textId="77777777" w:rsidR="00680291" w:rsidRDefault="00680291" w:rsidP="00680291">
      <w:pPr>
        <w:spacing w:line="480" w:lineRule="auto"/>
      </w:pPr>
      <w:r>
        <w:t>4.</w:t>
      </w:r>
      <w:r>
        <w:tab/>
        <w:t>Liberty Utilities Co. is a subsidiary of Liberty Utilities (Canada) Corp.</w:t>
      </w:r>
    </w:p>
    <w:p w14:paraId="2EC11E11" w14:textId="77777777" w:rsidR="00680291" w:rsidRDefault="00680291" w:rsidP="00812336">
      <w:pPr>
        <w:spacing w:line="480" w:lineRule="auto"/>
        <w:ind w:left="720" w:hanging="720"/>
      </w:pPr>
      <w:r w:rsidRPr="00680291">
        <w:t>5.</w:t>
      </w:r>
      <w:r w:rsidRPr="00680291">
        <w:tab/>
        <w:t>Algonquin Power &amp; Utilities Corp., a publicly trade</w:t>
      </w:r>
      <w:r>
        <w:t xml:space="preserve">d member of the Toronto Stock Exchange, ultimately owns </w:t>
      </w:r>
      <w:r w:rsidR="009F4843">
        <w:t>all of the Liberty Utilities entities, including the Applicants.</w:t>
      </w:r>
    </w:p>
    <w:p w14:paraId="41AB2E91" w14:textId="77777777" w:rsidR="009F4843" w:rsidRDefault="009F4843" w:rsidP="00812336">
      <w:pPr>
        <w:spacing w:line="480" w:lineRule="auto"/>
        <w:ind w:left="720" w:hanging="720"/>
      </w:pPr>
      <w:r>
        <w:t>6.</w:t>
      </w:r>
      <w:r>
        <w:tab/>
        <w:t>Liberty Tall Timbers is authorized under certificate of convenience and necessity (CCN) number 20694 to provide service to the public and to provide retail sewer utility service within its certificated service area and outside that area in accordance with TWC, Chapter 13.</w:t>
      </w:r>
    </w:p>
    <w:p w14:paraId="5F2659F3" w14:textId="77777777" w:rsidR="009F4843" w:rsidRDefault="009F4843" w:rsidP="00812336">
      <w:pPr>
        <w:spacing w:line="480" w:lineRule="auto"/>
        <w:ind w:left="720" w:hanging="720"/>
      </w:pPr>
      <w:r>
        <w:t>7.</w:t>
      </w:r>
      <w:r>
        <w:tab/>
        <w:t>Liberty Woodmark is authorized under certificate of convenience and necessity (CCN) number 20679 to provide service to the public and to provide retail sewer utility service within its certificated service area and outside that area in accordance with TWC, Chapter 13.</w:t>
      </w:r>
    </w:p>
    <w:p w14:paraId="5D55A0FB" w14:textId="77777777" w:rsidR="00CF3502" w:rsidRDefault="009F4843" w:rsidP="00680291">
      <w:pPr>
        <w:spacing w:line="480" w:lineRule="auto"/>
      </w:pPr>
      <w:r>
        <w:t>8.</w:t>
      </w:r>
      <w:r>
        <w:tab/>
        <w:t xml:space="preserve">Liberty Tall Timbers and Liberty Woodmark were the original Applicants.  </w:t>
      </w:r>
    </w:p>
    <w:p w14:paraId="390DB7FE" w14:textId="77777777" w:rsidR="00EC49F7" w:rsidRPr="008F2B52" w:rsidRDefault="00CF3502" w:rsidP="00812336">
      <w:pPr>
        <w:spacing w:line="480" w:lineRule="auto"/>
        <w:ind w:left="720" w:hanging="720"/>
      </w:pPr>
      <w:r>
        <w:t>9.</w:t>
      </w:r>
      <w:r>
        <w:tab/>
      </w:r>
      <w:r w:rsidR="009F4843">
        <w:t xml:space="preserve">LU Sub Corp. was added as an Applicant </w:t>
      </w:r>
      <w:r w:rsidR="002B6BB8">
        <w:t>in response to</w:t>
      </w:r>
      <w:r w:rsidR="009F4843">
        <w:t xml:space="preserve"> </w:t>
      </w:r>
      <w:r w:rsidR="004A47B9">
        <w:t>the Commission’s Order on Appeal of SOAH Order No. 2</w:t>
      </w:r>
      <w:r>
        <w:t>.</w:t>
      </w:r>
      <w:r w:rsidR="008F2B52">
        <w:rPr>
          <w:rStyle w:val="FootnoteReference"/>
        </w:rPr>
        <w:footnoteReference w:id="4"/>
      </w:r>
    </w:p>
    <w:p w14:paraId="5E5859F2" w14:textId="77777777" w:rsidR="004F75B7" w:rsidRPr="0045762C" w:rsidRDefault="008F2B52" w:rsidP="004F75B7">
      <w:pPr>
        <w:spacing w:line="480" w:lineRule="auto"/>
        <w:rPr>
          <w:b/>
          <w:i/>
        </w:rPr>
      </w:pPr>
      <w:r>
        <w:rPr>
          <w:b/>
          <w:i/>
          <w:u w:val="single"/>
        </w:rPr>
        <w:t>Application</w:t>
      </w:r>
      <w:r w:rsidR="00027E7C">
        <w:rPr>
          <w:b/>
          <w:i/>
          <w:u w:val="single"/>
        </w:rPr>
        <w:t>/Notice</w:t>
      </w:r>
      <w:r w:rsidR="00500486">
        <w:rPr>
          <w:b/>
          <w:i/>
          <w:u w:val="single"/>
        </w:rPr>
        <w:t>/Interventions</w:t>
      </w:r>
    </w:p>
    <w:p w14:paraId="7E7F8E79" w14:textId="77777777" w:rsidR="00B63B6F" w:rsidRDefault="00B33624" w:rsidP="00BA6A80">
      <w:pPr>
        <w:pStyle w:val="ListParagraph"/>
        <w:numPr>
          <w:ilvl w:val="0"/>
          <w:numId w:val="2"/>
        </w:numPr>
        <w:spacing w:line="480" w:lineRule="auto"/>
        <w:ind w:left="720"/>
      </w:pPr>
      <w:r>
        <w:t xml:space="preserve">On September 2, 2016, </w:t>
      </w:r>
      <w:r w:rsidR="00866802">
        <w:t xml:space="preserve">Liberty </w:t>
      </w:r>
      <w:r>
        <w:t xml:space="preserve">Tall Timbers and Liberty Woodmark filed </w:t>
      </w:r>
      <w:r w:rsidR="00B63B6F">
        <w:t xml:space="preserve">an application with </w:t>
      </w:r>
      <w:r>
        <w:t xml:space="preserve">the Commission requesting authority for sewer rate and tariff changes.  </w:t>
      </w:r>
    </w:p>
    <w:p w14:paraId="7E89B7EE" w14:textId="77777777" w:rsidR="009E43EF" w:rsidRDefault="00B33624" w:rsidP="000F4FEE">
      <w:pPr>
        <w:pStyle w:val="ListParagraph"/>
        <w:numPr>
          <w:ilvl w:val="0"/>
          <w:numId w:val="2"/>
        </w:numPr>
        <w:spacing w:line="480" w:lineRule="auto"/>
        <w:ind w:left="720"/>
      </w:pPr>
      <w:r>
        <w:t xml:space="preserve">The Application </w:t>
      </w:r>
      <w:r w:rsidR="00FD2F4D">
        <w:t xml:space="preserve">was also filed with </w:t>
      </w:r>
      <w:r>
        <w:t xml:space="preserve">Tyler </w:t>
      </w:r>
      <w:r w:rsidR="00FD2F4D">
        <w:t>to request</w:t>
      </w:r>
      <w:r>
        <w:t xml:space="preserve"> sewer rate and tariff changes </w:t>
      </w:r>
      <w:r w:rsidR="001F0405">
        <w:t xml:space="preserve">for </w:t>
      </w:r>
      <w:r>
        <w:t>Liberty Tall Timbers</w:t>
      </w:r>
      <w:r w:rsidR="000F4FEE">
        <w:t xml:space="preserve"> customers inside the Tyler corporate limits</w:t>
      </w:r>
      <w:r w:rsidR="007E08C1">
        <w:t>;</w:t>
      </w:r>
      <w:r w:rsidR="00027E7C">
        <w:t xml:space="preserve"> thus, Tyler was timely served notice of Liberty Tall Timbers’ statement of intent to change rates.</w:t>
      </w:r>
    </w:p>
    <w:p w14:paraId="04622EF5" w14:textId="77777777" w:rsidR="00FB5DAD" w:rsidRDefault="00FD2F4D" w:rsidP="00BC16DD">
      <w:pPr>
        <w:pStyle w:val="ListParagraph"/>
        <w:numPr>
          <w:ilvl w:val="0"/>
          <w:numId w:val="2"/>
        </w:numPr>
        <w:spacing w:line="480" w:lineRule="auto"/>
        <w:ind w:left="720"/>
      </w:pPr>
      <w:r>
        <w:t xml:space="preserve">Liberty Tall Timbers and Liberty Woodmark </w:t>
      </w:r>
      <w:r w:rsidR="00FB5DAD">
        <w:t>corrected and clarified</w:t>
      </w:r>
      <w:r>
        <w:t xml:space="preserve"> certain Application items on October 17, 2016</w:t>
      </w:r>
      <w:r w:rsidR="00FB5DAD">
        <w:t>,</w:t>
      </w:r>
      <w:r w:rsidR="00FB5DAD" w:rsidRPr="00FB5DAD">
        <w:t xml:space="preserve"> </w:t>
      </w:r>
      <w:r w:rsidR="00FB5DAD">
        <w:t xml:space="preserve">including the Application notice originally </w:t>
      </w:r>
      <w:r w:rsidR="00027E7C">
        <w:t>mailed to affected customers</w:t>
      </w:r>
      <w:r w:rsidR="00FB5DAD">
        <w:t xml:space="preserve"> on or about September 7, 2016 that included a proposed effective date of November 1, 2016.</w:t>
      </w:r>
    </w:p>
    <w:p w14:paraId="45B02C78" w14:textId="77777777" w:rsidR="00FB5DAD" w:rsidRDefault="00FB5DAD" w:rsidP="000F4FEE">
      <w:pPr>
        <w:pStyle w:val="ListParagraph"/>
        <w:numPr>
          <w:ilvl w:val="0"/>
          <w:numId w:val="2"/>
        </w:numPr>
        <w:spacing w:line="480" w:lineRule="auto"/>
        <w:ind w:left="720"/>
      </w:pPr>
      <w:r>
        <w:t xml:space="preserve">A corrected Application notice was </w:t>
      </w:r>
      <w:r w:rsidR="00027E7C">
        <w:t>mailed to affected customers</w:t>
      </w:r>
      <w:r>
        <w:t xml:space="preserve"> on or about December 12, 2016 that included a new proposed effective date of February 1, 2017.</w:t>
      </w:r>
    </w:p>
    <w:p w14:paraId="12A6CBAB" w14:textId="4DE83D34" w:rsidR="00027E7C" w:rsidRDefault="00027E7C" w:rsidP="000F4FEE">
      <w:pPr>
        <w:pStyle w:val="ListParagraph"/>
        <w:numPr>
          <w:ilvl w:val="0"/>
          <w:numId w:val="2"/>
        </w:numPr>
        <w:spacing w:line="480" w:lineRule="auto"/>
        <w:ind w:left="720"/>
      </w:pPr>
      <w:r>
        <w:t>On December 1</w:t>
      </w:r>
      <w:r w:rsidR="007E08C1">
        <w:t>6</w:t>
      </w:r>
      <w:r>
        <w:t>, 2016, Liberty Tall Timbers and Liberty Woodmark filed affidavits</w:t>
      </w:r>
      <w:r w:rsidR="007E08C1">
        <w:t xml:space="preserve"> with the Commission</w:t>
      </w:r>
      <w:r>
        <w:t xml:space="preserve"> attesting that they mailed each of the aforementioned notices to all affected customers.</w:t>
      </w:r>
      <w:r w:rsidR="007E08C1">
        <w:t xml:space="preserve">  Liberty Tall Timbers filed similar affidavits with Tyler.</w:t>
      </w:r>
    </w:p>
    <w:p w14:paraId="23E00AF5" w14:textId="77777777" w:rsidR="00FB5DAD" w:rsidRPr="008171FB" w:rsidRDefault="00FB5DAD" w:rsidP="000F4FEE">
      <w:pPr>
        <w:pStyle w:val="ListParagraph"/>
        <w:numPr>
          <w:ilvl w:val="0"/>
          <w:numId w:val="2"/>
        </w:numPr>
        <w:spacing w:line="480" w:lineRule="auto"/>
        <w:ind w:left="720"/>
      </w:pPr>
      <w:r>
        <w:t xml:space="preserve">The test year used in the Application was the twelve-month period from January 1, 2015 </w:t>
      </w:r>
      <w:r w:rsidRPr="008171FB">
        <w:t xml:space="preserve">through December 31, 2015, adjusted for certain known and measurable changes.  </w:t>
      </w:r>
    </w:p>
    <w:p w14:paraId="65111671" w14:textId="77777777" w:rsidR="00FB5DAD" w:rsidRPr="008171FB" w:rsidRDefault="00FB5DAD" w:rsidP="000F4FEE">
      <w:pPr>
        <w:pStyle w:val="ListParagraph"/>
        <w:numPr>
          <w:ilvl w:val="0"/>
          <w:numId w:val="2"/>
        </w:numPr>
        <w:spacing w:line="480" w:lineRule="auto"/>
        <w:ind w:left="720"/>
      </w:pPr>
      <w:r w:rsidRPr="008171FB">
        <w:t>The Application requested consolidated rates in two phases with a</w:t>
      </w:r>
      <w:r w:rsidR="00A71392" w:rsidRPr="008171FB">
        <w:t>n annual</w:t>
      </w:r>
      <w:r w:rsidRPr="008171FB">
        <w:t xml:space="preserve"> revenue requirement of $3,806,414 in Phase 1, plus an additional $955,981</w:t>
      </w:r>
      <w:r w:rsidR="00A71392" w:rsidRPr="008171FB">
        <w:t xml:space="preserve"> annually</w:t>
      </w:r>
      <w:r w:rsidRPr="008171FB">
        <w:t xml:space="preserve"> in Phase 2</w:t>
      </w:r>
      <w:r w:rsidR="00A71392" w:rsidRPr="008171FB">
        <w:t>, bringing the total annual revenue requirement requested to approximately $4,762,395.</w:t>
      </w:r>
    </w:p>
    <w:p w14:paraId="5B96EB27" w14:textId="77777777" w:rsidR="00BC16DD" w:rsidRPr="008171FB" w:rsidRDefault="00BC16DD" w:rsidP="000F4FEE">
      <w:pPr>
        <w:pStyle w:val="ListParagraph"/>
        <w:numPr>
          <w:ilvl w:val="0"/>
          <w:numId w:val="2"/>
        </w:numPr>
        <w:spacing w:line="480" w:lineRule="auto"/>
        <w:ind w:left="720"/>
      </w:pPr>
      <w:r w:rsidRPr="008171FB">
        <w:t>Th</w:t>
      </w:r>
      <w:r w:rsidR="00A71392" w:rsidRPr="008171FB">
        <w:t>e</w:t>
      </w:r>
      <w:r w:rsidRPr="008171FB">
        <w:t xml:space="preserve"> Application requested </w:t>
      </w:r>
      <w:r w:rsidR="00A71392" w:rsidRPr="008171FB">
        <w:t>revenue increases of $1,009,792 in Phase 1 and $955,981 in Phase 2 for a total increase of $1,965,773 annually following implementation of both rate phases</w:t>
      </w:r>
      <w:r w:rsidRPr="008171FB">
        <w:t>.</w:t>
      </w:r>
    </w:p>
    <w:p w14:paraId="47C82BE8" w14:textId="6180CD21" w:rsidR="000F4FEE" w:rsidRDefault="000F4FEE" w:rsidP="000F4FEE">
      <w:pPr>
        <w:pStyle w:val="ListParagraph"/>
        <w:numPr>
          <w:ilvl w:val="0"/>
          <w:numId w:val="2"/>
        </w:numPr>
        <w:spacing w:line="480" w:lineRule="auto"/>
        <w:ind w:left="720"/>
      </w:pPr>
      <w:r>
        <w:t xml:space="preserve">On December </w:t>
      </w:r>
      <w:r w:rsidR="00593F23">
        <w:t>6</w:t>
      </w:r>
      <w:r>
        <w:t>, 2016, the Commission deemed the Application administratively complete</w:t>
      </w:r>
      <w:r w:rsidR="00F23F99">
        <w:t xml:space="preserve"> in Order No. 7</w:t>
      </w:r>
      <w:r>
        <w:t>, and on December 9, 2016, Tyler deemed the Application administratively complete.  Both the Commission and Tyler suspended the proposed February 1, 2017 effective date of the rate increase for affected customers.</w:t>
      </w:r>
    </w:p>
    <w:p w14:paraId="65493CF8" w14:textId="254A51A4" w:rsidR="00500486" w:rsidRDefault="00500486" w:rsidP="000F4FEE">
      <w:pPr>
        <w:pStyle w:val="ListParagraph"/>
        <w:numPr>
          <w:ilvl w:val="0"/>
          <w:numId w:val="2"/>
        </w:numPr>
        <w:spacing w:line="480" w:lineRule="auto"/>
        <w:ind w:left="720"/>
      </w:pPr>
      <w:r>
        <w:t xml:space="preserve">Timely motions to intervene in this proceeding were filed by the Office of Public Utility Counsel, Tyler, and the following ratepayers represented by Ms. Katherine Carter: </w:t>
      </w:r>
      <w:r w:rsidR="00787A1B">
        <w:t>Southchase Rentals, LLC</w:t>
      </w:r>
      <w:r w:rsidR="00467A73">
        <w:t>;</w:t>
      </w:r>
      <w:r w:rsidR="00787A1B">
        <w:t xml:space="preserve"> Tom Keith</w:t>
      </w:r>
      <w:r w:rsidR="00467A73">
        <w:t>;</w:t>
      </w:r>
      <w:r w:rsidR="00787A1B">
        <w:t xml:space="preserve"> Tall Oaks Properties</w:t>
      </w:r>
      <w:r w:rsidR="00467A73">
        <w:t>;</w:t>
      </w:r>
      <w:r w:rsidR="00787A1B">
        <w:t xml:space="preserve"> and Kent Rental Properties.</w:t>
      </w:r>
    </w:p>
    <w:p w14:paraId="45B4E031" w14:textId="77777777" w:rsidR="00027E7C" w:rsidRDefault="005B4E20" w:rsidP="005B4E20">
      <w:pPr>
        <w:pStyle w:val="ListParagraph"/>
        <w:numPr>
          <w:ilvl w:val="0"/>
          <w:numId w:val="2"/>
        </w:numPr>
        <w:spacing w:line="480" w:lineRule="auto"/>
        <w:ind w:left="720"/>
      </w:pPr>
      <w:r>
        <w:t xml:space="preserve">On December 12, 2016, the Commission referred the Application </w:t>
      </w:r>
      <w:r w:rsidR="00D411DB">
        <w:t xml:space="preserve">concerning the service area </w:t>
      </w:r>
      <w:r>
        <w:t xml:space="preserve">outside Tyler to the State Office of Administrative Hearings (“SOAH”). </w:t>
      </w:r>
      <w:r w:rsidR="00D411DB">
        <w:t xml:space="preserve"> </w:t>
      </w:r>
      <w:r w:rsidR="00593F23">
        <w:t>On December 13, 2016, the Commission iss</w:t>
      </w:r>
      <w:r w:rsidR="00984BD3">
        <w:t>ued an Amended Order of Referral to correct the open meeting date that the Commission would consider and possibly adopt a preliminary order in this docket</w:t>
      </w:r>
      <w:r w:rsidR="00593F23">
        <w:t xml:space="preserve">. </w:t>
      </w:r>
    </w:p>
    <w:p w14:paraId="4709996F" w14:textId="77777777" w:rsidR="005B4E20" w:rsidRDefault="001F276F" w:rsidP="005B4E20">
      <w:pPr>
        <w:pStyle w:val="ListParagraph"/>
        <w:numPr>
          <w:ilvl w:val="0"/>
          <w:numId w:val="2"/>
        </w:numPr>
        <w:spacing w:line="480" w:lineRule="auto"/>
        <w:ind w:left="720"/>
      </w:pPr>
      <w:r>
        <w:t xml:space="preserve">On December 28, 2016, </w:t>
      </w:r>
      <w:r w:rsidR="005B4E20">
        <w:t>SOAH Order No. 2 dismissed the Application</w:t>
      </w:r>
      <w:r w:rsidR="00027E7C">
        <w:t>, but abated the dismissal pending appeal</w:t>
      </w:r>
      <w:r w:rsidR="005B4E20">
        <w:t>.</w:t>
      </w:r>
    </w:p>
    <w:p w14:paraId="565004CD" w14:textId="77777777" w:rsidR="00933568" w:rsidRDefault="00933568" w:rsidP="005B4E20">
      <w:pPr>
        <w:pStyle w:val="ListParagraph"/>
        <w:numPr>
          <w:ilvl w:val="0"/>
          <w:numId w:val="2"/>
        </w:numPr>
        <w:spacing w:line="480" w:lineRule="auto"/>
        <w:ind w:left="720"/>
      </w:pPr>
      <w:r>
        <w:t xml:space="preserve">On January 9, 2017, Liberty Tall Timbers and Liberty Woodmark timely filed Liberty Utilities’ Appeal of SOAH Order No. 2 on Motion to Dismiss.  </w:t>
      </w:r>
    </w:p>
    <w:p w14:paraId="56D4FF44" w14:textId="2F2AD493" w:rsidR="00EA20E0" w:rsidRDefault="001700B5" w:rsidP="005B4E20">
      <w:pPr>
        <w:pStyle w:val="ListParagraph"/>
        <w:numPr>
          <w:ilvl w:val="0"/>
          <w:numId w:val="2"/>
        </w:numPr>
        <w:spacing w:line="480" w:lineRule="auto"/>
        <w:ind w:left="720"/>
      </w:pPr>
      <w:r>
        <w:t>On January 1</w:t>
      </w:r>
      <w:r w:rsidR="00984BD3">
        <w:t>7</w:t>
      </w:r>
      <w:r>
        <w:t xml:space="preserve">, 2017, Liberty Tall Timbers and Liberty Woodmark filed an affidavit with the Commission attesting that they mailed a notice of the prehearing conference scheduled for January 31, 2017 to all affected customers on or about January 11, 2017.  </w:t>
      </w:r>
    </w:p>
    <w:p w14:paraId="4451C8E4" w14:textId="77777777" w:rsidR="005E7533" w:rsidRDefault="005E7533" w:rsidP="005E7533">
      <w:pPr>
        <w:pStyle w:val="ListParagraph"/>
        <w:numPr>
          <w:ilvl w:val="0"/>
          <w:numId w:val="2"/>
        </w:numPr>
        <w:spacing w:line="480" w:lineRule="auto"/>
        <w:ind w:left="720"/>
      </w:pPr>
      <w:r>
        <w:t>A prehearing conference was held on January 31, 2017, during which the presiding SOAH ALJ found that the notice provided by the Applicants was sufficient, designated the Signatories identified herein (except LU (Sub) Corp.) as parties, and established a procedural schedule (later modified).</w:t>
      </w:r>
    </w:p>
    <w:p w14:paraId="1094AFF8" w14:textId="77777777" w:rsidR="005E7533" w:rsidRDefault="009C580C" w:rsidP="005B4E20">
      <w:pPr>
        <w:pStyle w:val="ListParagraph"/>
        <w:numPr>
          <w:ilvl w:val="0"/>
          <w:numId w:val="2"/>
        </w:numPr>
        <w:spacing w:line="480" w:lineRule="auto"/>
        <w:ind w:left="720"/>
      </w:pPr>
      <w:r>
        <w:t xml:space="preserve">On March 14, 2017, the Commission issued a preliminary order and an order on </w:t>
      </w:r>
      <w:r w:rsidR="005E7533">
        <w:t xml:space="preserve">appeal of SOAH Order No. 2, </w:t>
      </w:r>
      <w:r>
        <w:t>reversing the</w:t>
      </w:r>
      <w:r w:rsidR="005B4E20">
        <w:t xml:space="preserve"> dismissal </w:t>
      </w:r>
      <w:r>
        <w:t xml:space="preserve">and instructing </w:t>
      </w:r>
      <w:r w:rsidR="005B4E20">
        <w:t>the Applicants to add LU (Sub) Corp. as an Applicant.</w:t>
      </w:r>
    </w:p>
    <w:p w14:paraId="332F681B" w14:textId="1929D6A2" w:rsidR="005B4E20" w:rsidRDefault="005E7533" w:rsidP="005B4E20">
      <w:pPr>
        <w:pStyle w:val="ListParagraph"/>
        <w:numPr>
          <w:ilvl w:val="0"/>
          <w:numId w:val="2"/>
        </w:numPr>
        <w:spacing w:line="480" w:lineRule="auto"/>
        <w:ind w:left="720"/>
      </w:pPr>
      <w:r>
        <w:t xml:space="preserve">On March 31, 2017, the </w:t>
      </w:r>
      <w:r w:rsidR="00B020BD">
        <w:t xml:space="preserve">Applicants amended the Application to make </w:t>
      </w:r>
      <w:r w:rsidR="001708C5">
        <w:t xml:space="preserve">changes conforming to the Commission’s directive to </w:t>
      </w:r>
      <w:r>
        <w:t>include LU (Sub) Corp. as an Applicant.</w:t>
      </w:r>
      <w:r w:rsidR="001708C5">
        <w:t xml:space="preserve"> The </w:t>
      </w:r>
      <w:r w:rsidR="008B7110">
        <w:t xml:space="preserve">Applicants </w:t>
      </w:r>
      <w:r w:rsidR="001708C5">
        <w:t>also requested: (1) a change to the case style; (2) a new agreed schedule; and (3) extension of the suspension period to modify what would otherwise be the jurisdictional deadline for final action.  On April 13, 201</w:t>
      </w:r>
      <w:r w:rsidR="00864C6D">
        <w:t>7</w:t>
      </w:r>
      <w:r w:rsidR="001708C5">
        <w:t xml:space="preserve">, </w:t>
      </w:r>
      <w:r w:rsidR="00C2106F">
        <w:t xml:space="preserve">the SOAH ALJ issued </w:t>
      </w:r>
      <w:r w:rsidR="001708C5">
        <w:t>SOAH Order No. 5</w:t>
      </w:r>
      <w:r w:rsidR="00C2106F">
        <w:t>,</w:t>
      </w:r>
      <w:r w:rsidR="001708C5">
        <w:t xml:space="preserve"> grant</w:t>
      </w:r>
      <w:r w:rsidR="006F6031">
        <w:t>ing</w:t>
      </w:r>
      <w:r w:rsidR="001708C5">
        <w:t xml:space="preserve"> these requests.</w:t>
      </w:r>
      <w:r w:rsidR="005B4E20">
        <w:t xml:space="preserve"> </w:t>
      </w:r>
    </w:p>
    <w:p w14:paraId="3CB99153" w14:textId="751BC669" w:rsidR="005B4E20" w:rsidRDefault="005B4E20" w:rsidP="005B4E20">
      <w:pPr>
        <w:pStyle w:val="ListParagraph"/>
        <w:numPr>
          <w:ilvl w:val="0"/>
          <w:numId w:val="2"/>
        </w:numPr>
        <w:spacing w:line="480" w:lineRule="auto"/>
        <w:ind w:left="720"/>
      </w:pPr>
      <w:r>
        <w:t xml:space="preserve">On April 12, 2017, Tyler denied the Application </w:t>
      </w:r>
      <w:r w:rsidR="00D411DB">
        <w:t xml:space="preserve">concerning </w:t>
      </w:r>
      <w:r>
        <w:t xml:space="preserve">Liberty Tall Timbers customers inside Tyler’s corporate limits. </w:t>
      </w:r>
      <w:r w:rsidR="00D411DB">
        <w:t xml:space="preserve"> </w:t>
      </w:r>
      <w:r>
        <w:t>On May 8, 2017, Applicants timely appealed Tyler</w:t>
      </w:r>
      <w:r w:rsidR="002462EC">
        <w:t>’s</w:t>
      </w:r>
      <w:r>
        <w:t xml:space="preserve"> decision to the Commission. </w:t>
      </w:r>
      <w:r w:rsidR="00D411DB">
        <w:t xml:space="preserve"> O</w:t>
      </w:r>
      <w:r>
        <w:t xml:space="preserve">n June 30, 2017, </w:t>
      </w:r>
      <w:r w:rsidR="006F6031">
        <w:t xml:space="preserve">the SOAH ALJ issued </w:t>
      </w:r>
      <w:r w:rsidR="00912FCF">
        <w:t xml:space="preserve">SOAH Order No. 6, </w:t>
      </w:r>
      <w:r w:rsidR="006F6031">
        <w:t xml:space="preserve">wherein </w:t>
      </w:r>
      <w:r>
        <w:t>the appeal was consolidated with the outside-Tyler Application docket then in progress.</w:t>
      </w:r>
    </w:p>
    <w:p w14:paraId="3608FBDD" w14:textId="77777777" w:rsidR="00444C2E" w:rsidRPr="00444C2E" w:rsidRDefault="00444C2E" w:rsidP="00444C2E">
      <w:pPr>
        <w:spacing w:line="480" w:lineRule="auto"/>
        <w:rPr>
          <w:b/>
          <w:i/>
        </w:rPr>
      </w:pPr>
      <w:r>
        <w:rPr>
          <w:b/>
          <w:i/>
          <w:u w:val="single"/>
        </w:rPr>
        <w:t>Testimony</w:t>
      </w:r>
    </w:p>
    <w:p w14:paraId="11B3178B" w14:textId="77777777" w:rsidR="005B4E20" w:rsidRDefault="00444C2E" w:rsidP="005B4E20">
      <w:pPr>
        <w:pStyle w:val="ListParagraph"/>
        <w:numPr>
          <w:ilvl w:val="0"/>
          <w:numId w:val="2"/>
        </w:numPr>
        <w:spacing w:line="480" w:lineRule="auto"/>
        <w:ind w:left="720"/>
      </w:pPr>
      <w:r>
        <w:t>The Applicants included direct testimony with the Application and filed supplemental direct testimony on February 17, 2017</w:t>
      </w:r>
      <w:r w:rsidR="00322DC9">
        <w:t>.  Certain amendment and errata filings to the Application and direct testimony followed, including but not limited to amendments necessary to add LU (Sub) Corp. as an applicant on March 31, 2017.</w:t>
      </w:r>
    </w:p>
    <w:p w14:paraId="1E9AE333" w14:textId="77777777" w:rsidR="00322DC9" w:rsidRDefault="00322DC9" w:rsidP="005B4E20">
      <w:pPr>
        <w:pStyle w:val="ListParagraph"/>
        <w:numPr>
          <w:ilvl w:val="0"/>
          <w:numId w:val="2"/>
        </w:numPr>
        <w:spacing w:line="480" w:lineRule="auto"/>
        <w:ind w:left="720"/>
      </w:pPr>
      <w:r>
        <w:t>On May 23, 2017, OPUC, Tyler, and the Intervenor Ratepayers filed direct testimony later followed by certain errata filings.</w:t>
      </w:r>
    </w:p>
    <w:p w14:paraId="370ADBBE" w14:textId="77777777" w:rsidR="00322DC9" w:rsidRDefault="00322DC9" w:rsidP="005B4E20">
      <w:pPr>
        <w:pStyle w:val="ListParagraph"/>
        <w:numPr>
          <w:ilvl w:val="0"/>
          <w:numId w:val="2"/>
        </w:numPr>
        <w:spacing w:line="480" w:lineRule="auto"/>
        <w:ind w:left="720"/>
      </w:pPr>
      <w:r>
        <w:t>On June 9, 2017, Staff filed direct testimony, followed by supplemental direct testimony on June 12, 2017.</w:t>
      </w:r>
    </w:p>
    <w:p w14:paraId="369CD50D" w14:textId="77777777" w:rsidR="00322DC9" w:rsidRDefault="00322DC9" w:rsidP="005B4E20">
      <w:pPr>
        <w:pStyle w:val="ListParagraph"/>
        <w:numPr>
          <w:ilvl w:val="0"/>
          <w:numId w:val="2"/>
        </w:numPr>
        <w:spacing w:line="480" w:lineRule="auto"/>
        <w:ind w:left="720"/>
      </w:pPr>
      <w:r>
        <w:t xml:space="preserve">On June 30, 2017, the Applicants </w:t>
      </w:r>
      <w:r w:rsidR="00D04F70">
        <w:t>filed rebuttal testimony followed by certain errata filings.</w:t>
      </w:r>
    </w:p>
    <w:p w14:paraId="39A62313" w14:textId="0D53CC97" w:rsidR="00136AA6" w:rsidRDefault="00136AA6" w:rsidP="005B4E20">
      <w:pPr>
        <w:pStyle w:val="ListParagraph"/>
        <w:numPr>
          <w:ilvl w:val="0"/>
          <w:numId w:val="2"/>
        </w:numPr>
        <w:spacing w:line="480" w:lineRule="auto"/>
        <w:ind w:left="720"/>
      </w:pPr>
      <w:r>
        <w:t xml:space="preserve">On </w:t>
      </w:r>
      <w:r w:rsidR="00C53BD8">
        <w:t>February 4</w:t>
      </w:r>
      <w:r>
        <w:t xml:space="preserve">, </w:t>
      </w:r>
      <w:r w:rsidR="00A00329">
        <w:t>2019</w:t>
      </w:r>
      <w:r>
        <w:t>, Applicants filed direct testimony in support of the Stipulation and Addendum.</w:t>
      </w:r>
    </w:p>
    <w:p w14:paraId="359C5117" w14:textId="0852DFF8" w:rsidR="00136AA6" w:rsidRDefault="00136AA6" w:rsidP="005B4E20">
      <w:pPr>
        <w:pStyle w:val="ListParagraph"/>
        <w:numPr>
          <w:ilvl w:val="0"/>
          <w:numId w:val="2"/>
        </w:numPr>
        <w:spacing w:line="480" w:lineRule="auto"/>
        <w:ind w:left="720"/>
      </w:pPr>
      <w:r>
        <w:t xml:space="preserve">On </w:t>
      </w:r>
      <w:r w:rsidR="00C53BD8">
        <w:t>February 5</w:t>
      </w:r>
      <w:r>
        <w:t xml:space="preserve">, </w:t>
      </w:r>
      <w:r w:rsidR="00A00329">
        <w:t xml:space="preserve">2019, </w:t>
      </w:r>
      <w:r>
        <w:t>Staff filed direct testimony in support of the Stipulation and Addendum.</w:t>
      </w:r>
    </w:p>
    <w:p w14:paraId="48DFBA3E" w14:textId="77777777" w:rsidR="00D04F70" w:rsidRPr="00A944C8" w:rsidRDefault="00D04F70" w:rsidP="00D04F70">
      <w:pPr>
        <w:spacing w:line="480" w:lineRule="auto"/>
        <w:rPr>
          <w:b/>
          <w:i/>
        </w:rPr>
      </w:pPr>
      <w:r>
        <w:rPr>
          <w:b/>
          <w:i/>
          <w:u w:val="single"/>
        </w:rPr>
        <w:t>Agreement</w:t>
      </w:r>
    </w:p>
    <w:p w14:paraId="49F8C306" w14:textId="11061B1B" w:rsidR="00D04F70" w:rsidRDefault="00444C2E" w:rsidP="00444C2E">
      <w:pPr>
        <w:pStyle w:val="ListParagraph"/>
        <w:numPr>
          <w:ilvl w:val="0"/>
          <w:numId w:val="2"/>
        </w:numPr>
        <w:spacing w:line="480" w:lineRule="auto"/>
        <w:ind w:left="720"/>
      </w:pPr>
      <w:r>
        <w:t xml:space="preserve">On July 2, 2017, the Signatories reached a settlement agreement in principle and informed the presiding SOAH ALJ of such settlement </w:t>
      </w:r>
      <w:r w:rsidR="00D75A49">
        <w:t xml:space="preserve">on July 25, 2017 </w:t>
      </w:r>
      <w:r>
        <w:t xml:space="preserve">at the </w:t>
      </w:r>
      <w:r w:rsidR="00390E2E">
        <w:t xml:space="preserve">scheduled </w:t>
      </w:r>
      <w:r>
        <w:t xml:space="preserve">start of the hearing on the merits.  </w:t>
      </w:r>
    </w:p>
    <w:p w14:paraId="675EA999" w14:textId="77777777" w:rsidR="00D04F70" w:rsidRDefault="00444C2E" w:rsidP="00444C2E">
      <w:pPr>
        <w:pStyle w:val="ListParagraph"/>
        <w:numPr>
          <w:ilvl w:val="0"/>
          <w:numId w:val="2"/>
        </w:numPr>
        <w:spacing w:line="480" w:lineRule="auto"/>
        <w:ind w:left="720"/>
      </w:pPr>
      <w:r>
        <w:t xml:space="preserve">The Signatories orally moved to abate the proceedings to finalize and implement the terms of the Stipulation.  </w:t>
      </w:r>
    </w:p>
    <w:p w14:paraId="359D4C6B" w14:textId="77777777" w:rsidR="00444C2E" w:rsidRDefault="00444C2E" w:rsidP="00A944C8">
      <w:pPr>
        <w:pStyle w:val="ListParagraph"/>
        <w:numPr>
          <w:ilvl w:val="0"/>
          <w:numId w:val="2"/>
        </w:numPr>
        <w:spacing w:line="480" w:lineRule="auto"/>
        <w:ind w:left="720"/>
      </w:pPr>
      <w:r>
        <w:t>On July 31, 2017, the Signatories filed a joint motion to set interim rates effective August 1, 2017 in accordance with the agreed settlement and further addressed their request for abatement. The SOAH ALJ granted both requests on August 1, 2017 in SOAH Order No. 10.</w:t>
      </w:r>
    </w:p>
    <w:p w14:paraId="6E8965AE" w14:textId="77777777" w:rsidR="00DE0AA6" w:rsidRDefault="00DE0AA6" w:rsidP="005B4E20">
      <w:pPr>
        <w:pStyle w:val="ListParagraph"/>
        <w:numPr>
          <w:ilvl w:val="0"/>
          <w:numId w:val="2"/>
        </w:numPr>
        <w:spacing w:line="480" w:lineRule="auto"/>
        <w:ind w:left="720"/>
      </w:pPr>
      <w:r>
        <w:t xml:space="preserve">In accordance with SOAH Order No. 10, Liberty Tall Timbers and Liberty Woodmark filed interim rate </w:t>
      </w:r>
      <w:r w:rsidR="005D3E42">
        <w:t xml:space="preserve">sheets </w:t>
      </w:r>
      <w:r>
        <w:t xml:space="preserve">on </w:t>
      </w:r>
      <w:r w:rsidR="005D3E42">
        <w:t>August 1</w:t>
      </w:r>
      <w:r>
        <w:t xml:space="preserve">, 2017 reflecting the Stipulation rates.  The </w:t>
      </w:r>
      <w:r w:rsidR="00D56D5C">
        <w:t>Applicants</w:t>
      </w:r>
      <w:r>
        <w:t xml:space="preserve"> provided customers with notice of the agreed </w:t>
      </w:r>
      <w:r w:rsidR="00F65311">
        <w:t xml:space="preserve">three-phase </w:t>
      </w:r>
      <w:r>
        <w:t xml:space="preserve">interim rates </w:t>
      </w:r>
      <w:r w:rsidR="00D56D5C">
        <w:t>with their September 2017 bills</w:t>
      </w:r>
      <w:r w:rsidR="00783844">
        <w:t>, which were the first bills that reflected those rates</w:t>
      </w:r>
      <w:r w:rsidR="00F56871">
        <w:t xml:space="preserve"> made effective August 1, 2017</w:t>
      </w:r>
      <w:r>
        <w:t>.</w:t>
      </w:r>
    </w:p>
    <w:p w14:paraId="280EC8FC" w14:textId="77777777" w:rsidR="007D770E" w:rsidRDefault="007D770E" w:rsidP="005B4E20">
      <w:pPr>
        <w:pStyle w:val="ListParagraph"/>
        <w:numPr>
          <w:ilvl w:val="0"/>
          <w:numId w:val="2"/>
        </w:numPr>
        <w:spacing w:line="480" w:lineRule="auto"/>
        <w:ind w:left="720"/>
      </w:pPr>
      <w:r>
        <w:t xml:space="preserve">On November 15, 2017, the Parties filed a Joint Notice of Stipulation after executing a Unanimous Stipulation and Settlement Agreement </w:t>
      </w:r>
      <w:r w:rsidR="00E55E51">
        <w:t xml:space="preserve">on </w:t>
      </w:r>
      <w:r>
        <w:t xml:space="preserve">November 14, 2017.  However, </w:t>
      </w:r>
      <w:r w:rsidR="00EC39DA">
        <w:t>certain</w:t>
      </w:r>
      <w:r>
        <w:t xml:space="preserve"> Stipulation terms </w:t>
      </w:r>
      <w:r w:rsidR="00181823">
        <w:t>provided:</w:t>
      </w:r>
      <w:r>
        <w:t xml:space="preserve"> </w:t>
      </w:r>
      <w:r w:rsidR="00181823">
        <w:t>“U</w:t>
      </w:r>
      <w:r>
        <w:t>nless the Commission rule</w:t>
      </w:r>
      <w:r w:rsidR="00181823">
        <w:t xml:space="preserve">s </w:t>
      </w:r>
      <w:r>
        <w:t>that the water service providers [in their sewer service area] are prohibited from sharing volumetric data, the Applicants shall: (1) collect necessary data to design volumetric rates for consideration by the non-Applicant Signatories; and (2) present these volumetric rates to the non-Applicant Signatories for consideration along with the underlying data collected; and (3) prepare replacement tariffs using volumetric rate design.”</w:t>
      </w:r>
    </w:p>
    <w:p w14:paraId="5A41404A" w14:textId="77777777" w:rsidR="00A06F55" w:rsidRDefault="00F4269F" w:rsidP="005B4E20">
      <w:pPr>
        <w:pStyle w:val="ListParagraph"/>
        <w:numPr>
          <w:ilvl w:val="0"/>
          <w:numId w:val="2"/>
        </w:numPr>
        <w:spacing w:line="480" w:lineRule="auto"/>
        <w:ind w:left="720"/>
      </w:pPr>
      <w:r>
        <w:t>Applicants</w:t>
      </w:r>
      <w:r w:rsidR="00B34A58">
        <w:t xml:space="preserve"> </w:t>
      </w:r>
      <w:r w:rsidR="0077478D">
        <w:t xml:space="preserve">prepared a volumetric </w:t>
      </w:r>
      <w:r w:rsidR="009F619A">
        <w:t xml:space="preserve">sewer </w:t>
      </w:r>
      <w:r w:rsidR="0077478D">
        <w:t>rate proposal for the Parties to consider, but</w:t>
      </w:r>
      <w:r w:rsidR="00B34A58">
        <w:t xml:space="preserve"> </w:t>
      </w:r>
      <w:r w:rsidR="00444C56">
        <w:t xml:space="preserve">the Parties </w:t>
      </w:r>
      <w:r w:rsidR="00221510">
        <w:t xml:space="preserve">conferred </w:t>
      </w:r>
      <w:r w:rsidR="00B34A58">
        <w:t xml:space="preserve">on June 15, 2018 </w:t>
      </w:r>
      <w:r w:rsidR="00221510">
        <w:t xml:space="preserve">and decided not to request implementation of volumetric sewer rates as final rates in place of flat monthly rates.  </w:t>
      </w:r>
      <w:r w:rsidR="00DC245A">
        <w:t>In</w:t>
      </w:r>
      <w:r w:rsidR="00221510">
        <w:t xml:space="preserve"> the Addendum, the Parties agreed that Applicants fulfilled their respective commitments as to volumetric rates set forth in the Stipulation.</w:t>
      </w:r>
    </w:p>
    <w:p w14:paraId="144C416F" w14:textId="77777777" w:rsidR="007D770E" w:rsidRPr="006F5C8A" w:rsidRDefault="00A06F55" w:rsidP="005B4E20">
      <w:pPr>
        <w:pStyle w:val="ListParagraph"/>
        <w:numPr>
          <w:ilvl w:val="0"/>
          <w:numId w:val="2"/>
        </w:numPr>
        <w:spacing w:line="480" w:lineRule="auto"/>
        <w:ind w:left="720"/>
      </w:pPr>
      <w:r>
        <w:t>On June 28, 2018, July 10, 2018, and July 19, 2018, Applicants filed documents demonstrating compliance with the phased rate requirements set forth in</w:t>
      </w:r>
      <w:r w:rsidR="00181823">
        <w:t xml:space="preserve"> former</w:t>
      </w:r>
      <w:r w:rsidR="00091B27">
        <w:t xml:space="preserve"> 1</w:t>
      </w:r>
      <w:r>
        <w:rPr>
          <w:rFonts w:cs="Times New Roman"/>
          <w:szCs w:val="24"/>
        </w:rPr>
        <w:t>6</w:t>
      </w:r>
      <w:r w:rsidRPr="004375C5">
        <w:rPr>
          <w:rFonts w:cs="Times New Roman"/>
          <w:szCs w:val="24"/>
        </w:rPr>
        <w:t xml:space="preserve"> Tex. Admin. Code</w:t>
      </w:r>
      <w:r w:rsidR="00530994">
        <w:rPr>
          <w:rFonts w:cs="Times New Roman"/>
          <w:szCs w:val="24"/>
        </w:rPr>
        <w:t xml:space="preserve"> (TAC)</w:t>
      </w:r>
      <w:r w:rsidRPr="004375C5">
        <w:rPr>
          <w:rFonts w:cs="Times New Roman"/>
          <w:szCs w:val="24"/>
        </w:rPr>
        <w:t xml:space="preserve"> §</w:t>
      </w:r>
      <w:r>
        <w:rPr>
          <w:rFonts w:cs="Times New Roman"/>
          <w:szCs w:val="24"/>
        </w:rPr>
        <w:t xml:space="preserve"> 24.34(b)</w:t>
      </w:r>
      <w:r w:rsidR="00181823">
        <w:rPr>
          <w:rFonts w:cs="Times New Roman"/>
          <w:szCs w:val="24"/>
        </w:rPr>
        <w:t xml:space="preserve"> (now § 24.75(b))</w:t>
      </w:r>
      <w:r>
        <w:rPr>
          <w:rFonts w:cs="Times New Roman"/>
          <w:szCs w:val="24"/>
        </w:rPr>
        <w:t xml:space="preserve"> and the Stipulation, including evidence of a </w:t>
      </w:r>
      <w:r w:rsidR="002807F8">
        <w:rPr>
          <w:rFonts w:cs="Times New Roman"/>
          <w:szCs w:val="24"/>
        </w:rPr>
        <w:t xml:space="preserve">30-day </w:t>
      </w:r>
      <w:r w:rsidR="00C20CBC">
        <w:rPr>
          <w:rFonts w:cs="Times New Roman"/>
          <w:szCs w:val="24"/>
        </w:rPr>
        <w:t>“</w:t>
      </w:r>
      <w:r w:rsidR="002807F8">
        <w:rPr>
          <w:rFonts w:cs="Times New Roman"/>
          <w:szCs w:val="24"/>
        </w:rPr>
        <w:t>informational”</w:t>
      </w:r>
      <w:r>
        <w:rPr>
          <w:rFonts w:cs="Times New Roman"/>
          <w:szCs w:val="24"/>
        </w:rPr>
        <w:t xml:space="preserve"> notice to customers provided on June 26, 2018.</w:t>
      </w:r>
      <w:r w:rsidR="00175409">
        <w:rPr>
          <w:rFonts w:cs="Times New Roman"/>
          <w:szCs w:val="24"/>
        </w:rPr>
        <w:t xml:space="preserve">  This also served as a courtesy follow-up notice </w:t>
      </w:r>
      <w:r w:rsidR="009D61BE">
        <w:rPr>
          <w:rFonts w:cs="Times New Roman"/>
          <w:szCs w:val="24"/>
        </w:rPr>
        <w:t>to customer</w:t>
      </w:r>
      <w:r w:rsidR="00B53ABA">
        <w:rPr>
          <w:rFonts w:cs="Times New Roman"/>
          <w:szCs w:val="24"/>
        </w:rPr>
        <w:t>s</w:t>
      </w:r>
      <w:r w:rsidR="009D61BE">
        <w:rPr>
          <w:rFonts w:cs="Times New Roman"/>
          <w:szCs w:val="24"/>
        </w:rPr>
        <w:t xml:space="preserve"> </w:t>
      </w:r>
      <w:r w:rsidR="00175409">
        <w:rPr>
          <w:rFonts w:cs="Times New Roman"/>
          <w:szCs w:val="24"/>
        </w:rPr>
        <w:t xml:space="preserve">regarding the </w:t>
      </w:r>
      <w:r w:rsidR="00F50C8B">
        <w:rPr>
          <w:rFonts w:cs="Times New Roman"/>
          <w:szCs w:val="24"/>
        </w:rPr>
        <w:t xml:space="preserve">three-phase </w:t>
      </w:r>
      <w:r w:rsidR="00175409">
        <w:rPr>
          <w:rFonts w:cs="Times New Roman"/>
          <w:szCs w:val="24"/>
        </w:rPr>
        <w:t>interim rate schedule made effective August 1, 2017</w:t>
      </w:r>
      <w:r w:rsidR="00175409" w:rsidRPr="006F5C8A">
        <w:rPr>
          <w:rFonts w:cs="Times New Roman"/>
          <w:szCs w:val="24"/>
        </w:rPr>
        <w:t xml:space="preserve">. </w:t>
      </w:r>
      <w:r w:rsidRPr="006F5C8A">
        <w:t xml:space="preserve">  </w:t>
      </w:r>
      <w:r w:rsidR="00221510" w:rsidRPr="006F5C8A">
        <w:t xml:space="preserve"> </w:t>
      </w:r>
    </w:p>
    <w:p w14:paraId="4C76FE0A" w14:textId="324A946E" w:rsidR="00E55E51" w:rsidRPr="006F5C8A" w:rsidRDefault="00E55E51" w:rsidP="005B4E20">
      <w:pPr>
        <w:pStyle w:val="ListParagraph"/>
        <w:numPr>
          <w:ilvl w:val="0"/>
          <w:numId w:val="2"/>
        </w:numPr>
        <w:spacing w:line="480" w:lineRule="auto"/>
        <w:ind w:left="720"/>
      </w:pPr>
      <w:r w:rsidRPr="006F5C8A">
        <w:t xml:space="preserve">The Stipulation required the Parties to complete additional discussions and implementation actions.  Further, intervening events occurred after the Stipulation was executed, such as the </w:t>
      </w:r>
      <w:r w:rsidR="00A738DE">
        <w:t>TCJA</w:t>
      </w:r>
      <w:r w:rsidRPr="006F5C8A">
        <w:t xml:space="preserve">.  Therefore, the Parties developed the Addendum executed on October 2, 2018 </w:t>
      </w:r>
      <w:r w:rsidR="00EC39DA" w:rsidRPr="006F5C8A">
        <w:t xml:space="preserve">as a supplement to the Stipulation </w:t>
      </w:r>
      <w:r w:rsidRPr="006F5C8A">
        <w:t xml:space="preserve">to finally resolve their settlement agreement. </w:t>
      </w:r>
    </w:p>
    <w:p w14:paraId="0BFCA0C0" w14:textId="0A8522CF" w:rsidR="00136AA6" w:rsidRDefault="00E55E51" w:rsidP="005B4E20">
      <w:pPr>
        <w:pStyle w:val="ListParagraph"/>
        <w:numPr>
          <w:ilvl w:val="0"/>
          <w:numId w:val="2"/>
        </w:numPr>
        <w:spacing w:line="480" w:lineRule="auto"/>
        <w:ind w:left="720"/>
      </w:pPr>
      <w:r w:rsidRPr="006F5C8A">
        <w:t xml:space="preserve">On October 2, 2018, the Parties filed a Joint </w:t>
      </w:r>
      <w:r w:rsidR="00EC39DA" w:rsidRPr="006F5C8A">
        <w:t xml:space="preserve">Notice of Stipulation Addendum and Motion to Set Interim Rates.  </w:t>
      </w:r>
      <w:r w:rsidR="00952230">
        <w:t xml:space="preserve">On October </w:t>
      </w:r>
      <w:r w:rsidR="001E158C">
        <w:t>5</w:t>
      </w:r>
      <w:r w:rsidR="00952230">
        <w:t>, 2018, t</w:t>
      </w:r>
      <w:r w:rsidR="00EC39DA" w:rsidRPr="006F5C8A">
        <w:t xml:space="preserve">he SOAH ALJ </w:t>
      </w:r>
      <w:r w:rsidR="00C2106F">
        <w:t xml:space="preserve">issued SOAH Order No. 17, </w:t>
      </w:r>
      <w:r w:rsidR="00C2106F" w:rsidRPr="006F5C8A">
        <w:t>approv</w:t>
      </w:r>
      <w:r w:rsidR="00C2106F">
        <w:t>ing</w:t>
      </w:r>
      <w:r w:rsidR="00C2106F" w:rsidRPr="006F5C8A">
        <w:t xml:space="preserve"> </w:t>
      </w:r>
      <w:r w:rsidR="00EC39DA" w:rsidRPr="006F5C8A">
        <w:t xml:space="preserve">the </w:t>
      </w:r>
      <w:r w:rsidR="00FC035B" w:rsidRPr="006F5C8A">
        <w:t xml:space="preserve">agreed upon </w:t>
      </w:r>
      <w:r w:rsidR="00EC39DA" w:rsidRPr="006F5C8A">
        <w:t>interim rates</w:t>
      </w:r>
      <w:r w:rsidR="00735E91" w:rsidRPr="006F5C8A">
        <w:t>,</w:t>
      </w:r>
      <w:r w:rsidR="00EC39DA" w:rsidRPr="006F5C8A">
        <w:t xml:space="preserve"> which </w:t>
      </w:r>
      <w:r w:rsidR="00735E91" w:rsidRPr="006F5C8A">
        <w:t>re</w:t>
      </w:r>
      <w:r w:rsidR="003F6237" w:rsidRPr="006F5C8A">
        <w:t>tained the same</w:t>
      </w:r>
      <w:r w:rsidR="00735E91" w:rsidRPr="006F5C8A">
        <w:t xml:space="preserve"> </w:t>
      </w:r>
      <w:r w:rsidR="00FC035B" w:rsidRPr="006F5C8A">
        <w:t xml:space="preserve">flat monthly sewer rates </w:t>
      </w:r>
      <w:r w:rsidR="003F6237" w:rsidRPr="006F5C8A">
        <w:t>from the Stipulation, but added</w:t>
      </w:r>
      <w:r w:rsidR="00FC035B" w:rsidRPr="006F5C8A">
        <w:t xml:space="preserve"> </w:t>
      </w:r>
      <w:r w:rsidR="00EC39DA" w:rsidRPr="006F5C8A">
        <w:t>Federal Tax Change Credit Rider (FTCCR) rate reductions</w:t>
      </w:r>
      <w:r w:rsidR="00A20544" w:rsidRPr="006F5C8A">
        <w:t xml:space="preserve"> to address </w:t>
      </w:r>
      <w:r w:rsidR="0016370D" w:rsidRPr="006F5C8A">
        <w:t xml:space="preserve">estimated </w:t>
      </w:r>
      <w:r w:rsidR="00254DFE" w:rsidRPr="006F5C8A">
        <w:t xml:space="preserve">federal tax expense savings from </w:t>
      </w:r>
      <w:r w:rsidR="00A20544" w:rsidRPr="006F5C8A">
        <w:t xml:space="preserve">the </w:t>
      </w:r>
      <w:r w:rsidR="00A738DE">
        <w:t>TCJA</w:t>
      </w:r>
      <w:r w:rsidR="00A738DE" w:rsidRPr="006F5C8A">
        <w:t xml:space="preserve"> </w:t>
      </w:r>
      <w:r w:rsidR="0016370D" w:rsidRPr="006F5C8A">
        <w:t xml:space="preserve">without </w:t>
      </w:r>
      <w:r w:rsidR="007B00FA" w:rsidRPr="006F5C8A">
        <w:t xml:space="preserve">addressing any </w:t>
      </w:r>
      <w:r w:rsidR="0016370D" w:rsidRPr="006F5C8A">
        <w:t>excess deferred federal income taxes</w:t>
      </w:r>
      <w:r w:rsidR="00FC035B" w:rsidRPr="006F5C8A">
        <w:t xml:space="preserve">.  The new interim rates were jointly requested </w:t>
      </w:r>
      <w:r w:rsidR="00175409" w:rsidRPr="006F5C8A">
        <w:t xml:space="preserve">pursuant to the Addendum </w:t>
      </w:r>
      <w:r w:rsidR="00FC035B" w:rsidRPr="006F5C8A">
        <w:t>and approved</w:t>
      </w:r>
      <w:r w:rsidR="00EC39DA" w:rsidRPr="006F5C8A">
        <w:t xml:space="preserve"> to be effective September 1, 2018.</w:t>
      </w:r>
      <w:r w:rsidR="00175409" w:rsidRPr="006F5C8A">
        <w:t xml:space="preserve">  The Applicants provided customer notices for the new interim rates with November 2018 bills.</w:t>
      </w:r>
    </w:p>
    <w:p w14:paraId="75AF946D" w14:textId="4D5CD942" w:rsidR="00136AA6" w:rsidRDefault="00136AA6" w:rsidP="005B4E20">
      <w:pPr>
        <w:pStyle w:val="ListParagraph"/>
        <w:numPr>
          <w:ilvl w:val="0"/>
          <w:numId w:val="2"/>
        </w:numPr>
        <w:spacing w:line="480" w:lineRule="auto"/>
        <w:ind w:left="720"/>
      </w:pPr>
      <w:r>
        <w:t xml:space="preserve">On </w:t>
      </w:r>
      <w:r w:rsidR="00C53BD8">
        <w:t>February 5</w:t>
      </w:r>
      <w:r>
        <w:t xml:space="preserve">, </w:t>
      </w:r>
      <w:r w:rsidR="00A00329">
        <w:t>2019</w:t>
      </w:r>
      <w:r>
        <w:t>, the Signatories filed a joint motion to admit evidence and remand the proceeding to the Commission.</w:t>
      </w:r>
    </w:p>
    <w:p w14:paraId="6BDE2004" w14:textId="631C9B75" w:rsidR="00DE0AA6" w:rsidRPr="006F5C8A" w:rsidRDefault="00136AA6" w:rsidP="005B4E20">
      <w:pPr>
        <w:pStyle w:val="ListParagraph"/>
        <w:numPr>
          <w:ilvl w:val="0"/>
          <w:numId w:val="2"/>
        </w:numPr>
        <w:spacing w:line="480" w:lineRule="auto"/>
        <w:ind w:left="720"/>
      </w:pPr>
      <w:r>
        <w:t xml:space="preserve">On ________, </w:t>
      </w:r>
      <w:r w:rsidR="00A00329">
        <w:t>2019</w:t>
      </w:r>
      <w:r>
        <w:t>, SOAH issued Order No. ______, admitting evidence, remanding the proceeding to the Commission, and dismissing the SOAH docket.</w:t>
      </w:r>
      <w:r w:rsidR="00EC39DA" w:rsidRPr="006F5C8A">
        <w:t xml:space="preserve">    </w:t>
      </w:r>
    </w:p>
    <w:p w14:paraId="437F348F" w14:textId="73631B3E" w:rsidR="002B458E" w:rsidRPr="002B458E" w:rsidRDefault="00F47126" w:rsidP="00136AA6">
      <w:pPr>
        <w:pStyle w:val="ListParagraph"/>
        <w:numPr>
          <w:ilvl w:val="0"/>
          <w:numId w:val="2"/>
        </w:numPr>
        <w:spacing w:line="480" w:lineRule="auto"/>
        <w:ind w:left="720"/>
        <w:rPr>
          <w:b/>
          <w:i/>
          <w:u w:val="single"/>
        </w:rPr>
      </w:pPr>
      <w:r w:rsidRPr="006F5C8A">
        <w:t>In light of the</w:t>
      </w:r>
      <w:r w:rsidR="00C10A94" w:rsidRPr="006F5C8A">
        <w:t xml:space="preserve"> unique</w:t>
      </w:r>
      <w:r w:rsidRPr="006F5C8A">
        <w:t xml:space="preserve"> Stipulation </w:t>
      </w:r>
      <w:r w:rsidR="001860C1" w:rsidRPr="006F5C8A">
        <w:t xml:space="preserve">and Addendum </w:t>
      </w:r>
      <w:r w:rsidRPr="006F5C8A">
        <w:t>terms, the Parties have agreed to several extensions of the jurisdictional deadline to complete this case.  Th</w:t>
      </w:r>
      <w:r w:rsidR="00320040" w:rsidRPr="006F5C8A">
        <w:t xml:space="preserve">e presiding SOAH ALJ granted the latest such request </w:t>
      </w:r>
      <w:r w:rsidRPr="006F5C8A">
        <w:t xml:space="preserve">on </w:t>
      </w:r>
      <w:r w:rsidR="00C53BD8">
        <w:t xml:space="preserve">January 15, 2019, </w:t>
      </w:r>
      <w:r w:rsidRPr="006F5C8A">
        <w:t xml:space="preserve">in SOAH Order No. </w:t>
      </w:r>
      <w:r w:rsidR="00C53BD8">
        <w:t xml:space="preserve">15 </w:t>
      </w:r>
      <w:r w:rsidRPr="006F5C8A">
        <w:t>and extended th</w:t>
      </w:r>
      <w:r w:rsidR="00320040" w:rsidRPr="006F5C8A">
        <w:t xml:space="preserve">e jurisdictional </w:t>
      </w:r>
      <w:r w:rsidRPr="006F5C8A">
        <w:t xml:space="preserve">deadline to </w:t>
      </w:r>
      <w:r w:rsidR="00C53BD8">
        <w:t>March 14</w:t>
      </w:r>
      <w:r w:rsidRPr="006F5C8A">
        <w:t>, 201</w:t>
      </w:r>
      <w:r w:rsidR="005919F6">
        <w:t>9</w:t>
      </w:r>
      <w:r w:rsidRPr="006F5C8A">
        <w:t>.</w:t>
      </w:r>
      <w:r w:rsidR="00EE211E">
        <w:t xml:space="preserve"> </w:t>
      </w:r>
    </w:p>
    <w:p w14:paraId="02103C94" w14:textId="77777777" w:rsidR="00CA700E" w:rsidRDefault="00F47126" w:rsidP="00136AA6">
      <w:pPr>
        <w:pStyle w:val="ListParagraph"/>
        <w:numPr>
          <w:ilvl w:val="0"/>
          <w:numId w:val="2"/>
        </w:numPr>
        <w:spacing w:line="480" w:lineRule="auto"/>
        <w:ind w:left="720"/>
        <w:rPr>
          <w:b/>
          <w:i/>
          <w:u w:val="single"/>
        </w:rPr>
      </w:pPr>
      <w:r w:rsidRPr="006F5C8A">
        <w:t xml:space="preserve"> </w:t>
      </w:r>
      <w:r w:rsidR="002B458E">
        <w:t>The agreement is a “black-box” settlement for all revenue-requirement issues concerning Liberty Tall Timbers and Liberty Woodmark retail sewer utility rates except as provided in this Order.</w:t>
      </w:r>
    </w:p>
    <w:p w14:paraId="43F09916" w14:textId="77777777" w:rsidR="0045762C" w:rsidRDefault="00136AA6" w:rsidP="008B7110">
      <w:pPr>
        <w:keepNext/>
        <w:keepLines/>
        <w:rPr>
          <w:b/>
          <w:i/>
          <w:u w:val="single"/>
        </w:rPr>
      </w:pPr>
      <w:r>
        <w:rPr>
          <w:b/>
          <w:i/>
          <w:u w:val="single"/>
        </w:rPr>
        <w:t>Revenue Requirement and Rates</w:t>
      </w:r>
    </w:p>
    <w:p w14:paraId="002DB7FE" w14:textId="77777777" w:rsidR="00CA700E" w:rsidRPr="0045762C" w:rsidRDefault="00CA700E" w:rsidP="008B7110">
      <w:pPr>
        <w:keepNext/>
        <w:keepLines/>
        <w:rPr>
          <w:b/>
          <w:i/>
          <w:u w:val="single"/>
        </w:rPr>
      </w:pPr>
    </w:p>
    <w:p w14:paraId="74F82AF7" w14:textId="7D3FE90B" w:rsidR="00455C5B" w:rsidRDefault="0045762C" w:rsidP="008B7110">
      <w:pPr>
        <w:pStyle w:val="ListParagraph"/>
        <w:keepNext/>
        <w:keepLines/>
        <w:numPr>
          <w:ilvl w:val="0"/>
          <w:numId w:val="2"/>
        </w:numPr>
        <w:spacing w:line="480" w:lineRule="auto"/>
        <w:ind w:left="720"/>
        <w:rPr>
          <w:rFonts w:cs="Times New Roman"/>
          <w:szCs w:val="24"/>
        </w:rPr>
      </w:pPr>
      <w:r>
        <w:t>The Signator</w:t>
      </w:r>
      <w:r w:rsidR="00455C5B">
        <w:t xml:space="preserve">ies agreed that </w:t>
      </w:r>
      <w:r w:rsidR="00685CDE">
        <w:t xml:space="preserve">Liberty Tall Timbers and Liberty Woodmark </w:t>
      </w:r>
      <w:r w:rsidR="00455C5B">
        <w:t>should implement the retail sewer utility rates established in the tariffs and rate schedules</w:t>
      </w:r>
      <w:r w:rsidR="00284418">
        <w:t xml:space="preserve"> included in </w:t>
      </w:r>
      <w:r w:rsidR="00455C5B">
        <w:t>Exhibit</w:t>
      </w:r>
      <w:r w:rsidR="00284418">
        <w:t>s</w:t>
      </w:r>
      <w:r w:rsidR="00455C5B">
        <w:t xml:space="preserve"> A</w:t>
      </w:r>
      <w:r w:rsidR="00284418">
        <w:t>-1</w:t>
      </w:r>
      <w:r w:rsidR="00455C5B">
        <w:t xml:space="preserve"> (for Liberty Tall Timbers)</w:t>
      </w:r>
      <w:r w:rsidR="00284418">
        <w:t xml:space="preserve"> and</w:t>
      </w:r>
      <w:r w:rsidR="00455C5B">
        <w:t xml:space="preserve"> Exhibit B</w:t>
      </w:r>
      <w:r w:rsidR="00284418">
        <w:t>-1</w:t>
      </w:r>
      <w:r w:rsidR="00455C5B">
        <w:t xml:space="preserve"> (for Liberty Woodmark)</w:t>
      </w:r>
      <w:r w:rsidR="005070D0">
        <w:t xml:space="preserve"> attached to the Addendum</w:t>
      </w:r>
      <w:r w:rsidR="00455C5B">
        <w:t>.</w:t>
      </w:r>
      <w:r w:rsidR="007C279C">
        <w:t xml:space="preserve"> The Signatories further agreed that these should be the governing sewer utility rates, terms, treatments, and conditions for Liberty Tall Timbers ratepayers both inside and outside Tyler and for all Liberty Woodmark ratepayers, subject to certain other provisions in the Stipulation/Addendum. </w:t>
      </w:r>
      <w:r w:rsidR="00455C5B">
        <w:t xml:space="preserve">  </w:t>
      </w:r>
      <w:r w:rsidRPr="00D411DB">
        <w:rPr>
          <w:rFonts w:cs="Times New Roman"/>
          <w:szCs w:val="24"/>
        </w:rPr>
        <w:t xml:space="preserve">LU (Sub) Corp. </w:t>
      </w:r>
      <w:r w:rsidR="00455C5B">
        <w:rPr>
          <w:rFonts w:cs="Times New Roman"/>
          <w:szCs w:val="24"/>
        </w:rPr>
        <w:t xml:space="preserve">is </w:t>
      </w:r>
      <w:r w:rsidRPr="00D411DB">
        <w:rPr>
          <w:rFonts w:cs="Times New Roman"/>
          <w:szCs w:val="24"/>
        </w:rPr>
        <w:t>not included on the</w:t>
      </w:r>
      <w:r w:rsidR="0057160C">
        <w:rPr>
          <w:rFonts w:cs="Times New Roman"/>
          <w:szCs w:val="24"/>
        </w:rPr>
        <w:t xml:space="preserve"> </w:t>
      </w:r>
      <w:r w:rsidR="00966156">
        <w:rPr>
          <w:rFonts w:cs="Times New Roman"/>
          <w:szCs w:val="24"/>
        </w:rPr>
        <w:t>settlement</w:t>
      </w:r>
      <w:r w:rsidR="00D1436D" w:rsidRPr="00D411DB">
        <w:rPr>
          <w:rFonts w:cs="Times New Roman"/>
          <w:szCs w:val="24"/>
        </w:rPr>
        <w:t xml:space="preserve"> </w:t>
      </w:r>
      <w:r w:rsidRPr="00D411DB">
        <w:rPr>
          <w:rFonts w:cs="Times New Roman"/>
          <w:szCs w:val="24"/>
        </w:rPr>
        <w:t>tariffs because the Signatories agreed not to implement a</w:t>
      </w:r>
      <w:r w:rsidR="00D1436D" w:rsidRPr="00D411DB">
        <w:rPr>
          <w:rFonts w:cs="Times New Roman"/>
          <w:szCs w:val="24"/>
        </w:rPr>
        <w:t xml:space="preserve"> </w:t>
      </w:r>
      <w:r w:rsidRPr="00D411DB">
        <w:rPr>
          <w:rFonts w:cs="Times New Roman"/>
          <w:szCs w:val="24"/>
        </w:rPr>
        <w:t>consolidated tariff for Liberty Ta</w:t>
      </w:r>
      <w:r w:rsidR="00455C5B">
        <w:rPr>
          <w:rFonts w:cs="Times New Roman"/>
          <w:szCs w:val="24"/>
        </w:rPr>
        <w:t>ll Timbers and Liberty Woodmark.</w:t>
      </w:r>
    </w:p>
    <w:p w14:paraId="6F953F90" w14:textId="4D405ED0" w:rsidR="002B458E" w:rsidRDefault="000A549E" w:rsidP="002B458E">
      <w:pPr>
        <w:pStyle w:val="ListParagraph"/>
        <w:numPr>
          <w:ilvl w:val="0"/>
          <w:numId w:val="2"/>
        </w:numPr>
        <w:spacing w:line="480" w:lineRule="auto"/>
        <w:ind w:left="720"/>
        <w:rPr>
          <w:rFonts w:cs="Times New Roman"/>
          <w:szCs w:val="24"/>
        </w:rPr>
      </w:pPr>
      <w:r>
        <w:rPr>
          <w:rFonts w:cs="Times New Roman"/>
          <w:szCs w:val="24"/>
        </w:rPr>
        <w:t xml:space="preserve">In the Addendum, Liberty Tall Timbers and Liberty Woodmark agreed to add FTCCR rate provisions.  Those rates were approved as part of the interim rates effective September 1, 2018.  The Signatories agreed that implementation of the FTCCR rates by Liberty Tall Timbers and Liberty Woodmark, respectively, fully address the federal tax expense savings issues until its respective next rate case so long as the FTCCR remains in effect.  Conversely, the Signatories agreed that if the corporate tax rate reductions in the </w:t>
      </w:r>
      <w:r w:rsidR="00A738DE">
        <w:rPr>
          <w:rFonts w:cs="Times New Roman"/>
          <w:szCs w:val="24"/>
        </w:rPr>
        <w:t xml:space="preserve">TCJA </w:t>
      </w:r>
      <w:r>
        <w:rPr>
          <w:rFonts w:cs="Times New Roman"/>
          <w:szCs w:val="24"/>
        </w:rPr>
        <w:t>are modified in whole, or in part, before the next Liberty Tall Timbers or Liberty Woodmark rate case, each respective utility may apply to modify the FTCCR.  The FTCCR does not address the return to customer of any excess deferred federal income taxes, which may be addressed in the next Liberty Tall Timbers or Liberty Woodmark rate case.</w:t>
      </w:r>
    </w:p>
    <w:p w14:paraId="4BB46CE0" w14:textId="77777777" w:rsidR="002B458E" w:rsidRPr="002B458E" w:rsidRDefault="002B458E" w:rsidP="002B458E">
      <w:pPr>
        <w:pStyle w:val="ListParagraph"/>
        <w:numPr>
          <w:ilvl w:val="0"/>
          <w:numId w:val="2"/>
        </w:numPr>
        <w:spacing w:line="480" w:lineRule="auto"/>
        <w:ind w:left="720"/>
        <w:rPr>
          <w:rFonts w:cs="Times New Roman"/>
          <w:szCs w:val="24"/>
        </w:rPr>
      </w:pPr>
      <w:r>
        <w:t xml:space="preserve">The rates reflected in the Addendum include unconsolidated rates in three phases that, using test year billing determinants and after subtracting revenues estimated to be returned through Federal Tax Change Credit Riders, are estimated to produce annual revenues in the following approximate amounts: </w:t>
      </w:r>
    </w:p>
    <w:p w14:paraId="63C1A710" w14:textId="77777777" w:rsidR="002B458E" w:rsidRPr="002B458E" w:rsidRDefault="002B458E" w:rsidP="008B7110">
      <w:pPr>
        <w:pStyle w:val="ListParagraph"/>
        <w:spacing w:line="480" w:lineRule="auto"/>
        <w:ind w:left="1440"/>
        <w:rPr>
          <w:i/>
        </w:rPr>
      </w:pPr>
      <w:r w:rsidRPr="002B458E">
        <w:rPr>
          <w:i/>
        </w:rPr>
        <w:t>Liberty Tall Timbers:</w:t>
      </w:r>
    </w:p>
    <w:p w14:paraId="1732FAEA" w14:textId="41EF2BBD" w:rsidR="002B458E" w:rsidRPr="008171FB" w:rsidRDefault="008171FB" w:rsidP="008171FB">
      <w:pPr>
        <w:pStyle w:val="ListParagraph"/>
        <w:ind w:left="1440"/>
      </w:pPr>
      <w:r>
        <w:tab/>
      </w:r>
      <w:r w:rsidR="002B458E" w:rsidRPr="008171FB">
        <w:t>Phase 1</w:t>
      </w:r>
      <w:r w:rsidR="002B458E" w:rsidRPr="008171FB">
        <w:tab/>
        <w:t>$1,</w:t>
      </w:r>
      <w:r w:rsidR="008F3BF5" w:rsidRPr="008171FB">
        <w:t>091,680</w:t>
      </w:r>
    </w:p>
    <w:p w14:paraId="19D09E47" w14:textId="0F6DD864" w:rsidR="002B458E" w:rsidRPr="008171FB" w:rsidRDefault="008171FB" w:rsidP="008171FB">
      <w:pPr>
        <w:pStyle w:val="ListParagraph"/>
        <w:ind w:left="1440"/>
      </w:pPr>
      <w:r>
        <w:tab/>
      </w:r>
      <w:r w:rsidR="002B458E" w:rsidRPr="008171FB">
        <w:t>Phase 2</w:t>
      </w:r>
      <w:r w:rsidR="002B458E" w:rsidRPr="008171FB">
        <w:tab/>
        <w:t>$1,</w:t>
      </w:r>
      <w:r w:rsidR="008F3BF5" w:rsidRPr="008171FB">
        <w:t>308,250</w:t>
      </w:r>
    </w:p>
    <w:p w14:paraId="7354D744" w14:textId="041328EF" w:rsidR="002B458E" w:rsidRPr="008171FB" w:rsidRDefault="008171FB" w:rsidP="008B7110">
      <w:pPr>
        <w:pStyle w:val="ListParagraph"/>
        <w:spacing w:line="480" w:lineRule="auto"/>
        <w:ind w:left="1440"/>
      </w:pPr>
      <w:r>
        <w:tab/>
      </w:r>
      <w:r w:rsidR="002B458E" w:rsidRPr="008171FB">
        <w:t>Phase 3</w:t>
      </w:r>
      <w:r w:rsidR="002B458E" w:rsidRPr="008171FB">
        <w:tab/>
        <w:t>$1,</w:t>
      </w:r>
      <w:r w:rsidR="008F3BF5" w:rsidRPr="008171FB">
        <w:t>371,613</w:t>
      </w:r>
    </w:p>
    <w:p w14:paraId="18D344DD" w14:textId="77777777" w:rsidR="002B458E" w:rsidRPr="008171FB" w:rsidRDefault="002B458E" w:rsidP="008B7110">
      <w:pPr>
        <w:pStyle w:val="ListParagraph"/>
        <w:spacing w:line="480" w:lineRule="auto"/>
        <w:ind w:left="1440"/>
        <w:rPr>
          <w:b/>
        </w:rPr>
      </w:pPr>
      <w:r w:rsidRPr="008171FB">
        <w:rPr>
          <w:i/>
        </w:rPr>
        <w:t>Liberty Woodmark</w:t>
      </w:r>
      <w:r w:rsidRPr="008171FB">
        <w:rPr>
          <w:b/>
        </w:rPr>
        <w:t>:</w:t>
      </w:r>
    </w:p>
    <w:p w14:paraId="7C05A12E" w14:textId="6E15F991" w:rsidR="002B458E" w:rsidRPr="008171FB" w:rsidRDefault="008171FB" w:rsidP="008171FB">
      <w:pPr>
        <w:pStyle w:val="ListParagraph"/>
        <w:ind w:left="1440"/>
      </w:pPr>
      <w:r>
        <w:tab/>
      </w:r>
      <w:r w:rsidR="002B458E" w:rsidRPr="008171FB">
        <w:t>Phase 1</w:t>
      </w:r>
      <w:r w:rsidR="002B458E" w:rsidRPr="008171FB">
        <w:tab/>
        <w:t>$1,54</w:t>
      </w:r>
      <w:r w:rsidR="008F3BF5" w:rsidRPr="008171FB">
        <w:t>3,913</w:t>
      </w:r>
    </w:p>
    <w:p w14:paraId="7F056C2D" w14:textId="5C1417F9" w:rsidR="002B458E" w:rsidRPr="008171FB" w:rsidRDefault="008171FB" w:rsidP="008171FB">
      <w:pPr>
        <w:pStyle w:val="ListParagraph"/>
        <w:ind w:left="1440"/>
      </w:pPr>
      <w:r>
        <w:tab/>
      </w:r>
      <w:r w:rsidR="002B458E" w:rsidRPr="008171FB">
        <w:t>Phase 2</w:t>
      </w:r>
      <w:r w:rsidR="002B458E" w:rsidRPr="008171FB">
        <w:tab/>
        <w:t>$1,66</w:t>
      </w:r>
      <w:r w:rsidR="008F3BF5" w:rsidRPr="008171FB">
        <w:t>1,131</w:t>
      </w:r>
    </w:p>
    <w:p w14:paraId="0E13EDF7" w14:textId="09E8A5AB" w:rsidR="002B458E" w:rsidRPr="008171FB" w:rsidRDefault="008171FB" w:rsidP="008B7110">
      <w:pPr>
        <w:pStyle w:val="ListParagraph"/>
        <w:spacing w:line="480" w:lineRule="auto"/>
        <w:ind w:left="1440"/>
      </w:pPr>
      <w:r>
        <w:tab/>
      </w:r>
      <w:r w:rsidR="002B458E" w:rsidRPr="008171FB">
        <w:t>Phase 3</w:t>
      </w:r>
      <w:r w:rsidR="002B458E" w:rsidRPr="008171FB">
        <w:tab/>
        <w:t>$1,8</w:t>
      </w:r>
      <w:r w:rsidR="008F3BF5" w:rsidRPr="008171FB">
        <w:t>79,991</w:t>
      </w:r>
    </w:p>
    <w:p w14:paraId="2D9CDAB3" w14:textId="77777777" w:rsidR="002B458E" w:rsidRPr="008171FB" w:rsidRDefault="002B458E" w:rsidP="008B7110">
      <w:pPr>
        <w:pStyle w:val="ListParagraph"/>
        <w:spacing w:line="480" w:lineRule="auto"/>
        <w:ind w:left="1440"/>
        <w:rPr>
          <w:i/>
        </w:rPr>
      </w:pPr>
      <w:r w:rsidRPr="008171FB">
        <w:rPr>
          <w:i/>
        </w:rPr>
        <w:t>Liberty Tall Timbers and Liberty Woodmark Combined Total:</w:t>
      </w:r>
    </w:p>
    <w:p w14:paraId="757EC0D1" w14:textId="3D284E6A" w:rsidR="002B458E" w:rsidRPr="008171FB" w:rsidRDefault="008171FB" w:rsidP="008171FB">
      <w:pPr>
        <w:pStyle w:val="ListParagraph"/>
        <w:ind w:left="1440"/>
      </w:pPr>
      <w:r>
        <w:tab/>
      </w:r>
      <w:r w:rsidR="002B458E" w:rsidRPr="008171FB">
        <w:t>Phase 1</w:t>
      </w:r>
      <w:r w:rsidR="002B458E" w:rsidRPr="008171FB">
        <w:tab/>
        <w:t>$2,</w:t>
      </w:r>
      <w:r w:rsidR="008F3BF5" w:rsidRPr="008171FB">
        <w:t>635,592</w:t>
      </w:r>
    </w:p>
    <w:p w14:paraId="1AB8102F" w14:textId="4E550250" w:rsidR="002B458E" w:rsidRPr="008171FB" w:rsidRDefault="008171FB" w:rsidP="008171FB">
      <w:pPr>
        <w:pStyle w:val="ListParagraph"/>
        <w:ind w:left="1440"/>
      </w:pPr>
      <w:r>
        <w:tab/>
      </w:r>
      <w:r w:rsidR="002B458E" w:rsidRPr="008171FB">
        <w:t>Phase 2</w:t>
      </w:r>
      <w:r w:rsidR="002B458E" w:rsidRPr="008171FB">
        <w:tab/>
        <w:t>$</w:t>
      </w:r>
      <w:r w:rsidR="008F3BF5" w:rsidRPr="008171FB">
        <w:t>2,969,381</w:t>
      </w:r>
    </w:p>
    <w:p w14:paraId="2251911A" w14:textId="2E468DAE" w:rsidR="000A549E" w:rsidRDefault="008171FB" w:rsidP="008B7110">
      <w:pPr>
        <w:pStyle w:val="ListParagraph"/>
        <w:spacing w:line="480" w:lineRule="auto"/>
        <w:ind w:left="1440"/>
      </w:pPr>
      <w:r>
        <w:tab/>
      </w:r>
      <w:r w:rsidR="002B458E" w:rsidRPr="008171FB">
        <w:t>Phase 3</w:t>
      </w:r>
      <w:r w:rsidR="002B458E" w:rsidRPr="008171FB">
        <w:tab/>
        <w:t>$3,</w:t>
      </w:r>
      <w:r w:rsidR="008F3BF5" w:rsidRPr="008171FB">
        <w:t>251,604</w:t>
      </w:r>
    </w:p>
    <w:p w14:paraId="2E384480" w14:textId="77777777" w:rsidR="00F66C07" w:rsidRDefault="00F66C07" w:rsidP="00F66C07">
      <w:pPr>
        <w:rPr>
          <w:b/>
          <w:i/>
          <w:u w:val="single"/>
        </w:rPr>
      </w:pPr>
      <w:r>
        <w:rPr>
          <w:b/>
          <w:i/>
          <w:u w:val="single"/>
        </w:rPr>
        <w:t>Rate Case Expenses</w:t>
      </w:r>
    </w:p>
    <w:p w14:paraId="3FA8A2DD" w14:textId="77777777" w:rsidR="008B7110" w:rsidRPr="00F66C07" w:rsidRDefault="008B7110" w:rsidP="00F66C07">
      <w:pPr>
        <w:rPr>
          <w:b/>
          <w:i/>
          <w:u w:val="single"/>
        </w:rPr>
      </w:pPr>
    </w:p>
    <w:p w14:paraId="437CD340" w14:textId="77777777" w:rsidR="00F66C07" w:rsidRPr="00F66C07" w:rsidRDefault="00F66C07" w:rsidP="00D1436D">
      <w:pPr>
        <w:pStyle w:val="ListParagraph"/>
        <w:numPr>
          <w:ilvl w:val="0"/>
          <w:numId w:val="2"/>
        </w:numPr>
        <w:autoSpaceDE w:val="0"/>
        <w:autoSpaceDN w:val="0"/>
        <w:adjustRightInd w:val="0"/>
        <w:spacing w:line="480" w:lineRule="auto"/>
        <w:ind w:left="720"/>
        <w:rPr>
          <w:rFonts w:cs="Times New Roman"/>
          <w:bCs/>
          <w:szCs w:val="24"/>
        </w:rPr>
      </w:pPr>
      <w:r>
        <w:rPr>
          <w:rFonts w:cs="Times New Roman"/>
          <w:szCs w:val="24"/>
        </w:rPr>
        <w:t xml:space="preserve">Evidence in the record shows that </w:t>
      </w:r>
      <w:r w:rsidR="007D770E">
        <w:rPr>
          <w:rFonts w:cs="Times New Roman"/>
          <w:szCs w:val="24"/>
        </w:rPr>
        <w:t>Liberty Tall Timbers and Liberty Woodmark</w:t>
      </w:r>
      <w:r w:rsidR="00455C5B" w:rsidRPr="00455C5B">
        <w:rPr>
          <w:rFonts w:cs="Times New Roman"/>
          <w:szCs w:val="24"/>
        </w:rPr>
        <w:t xml:space="preserve"> </w:t>
      </w:r>
      <w:r>
        <w:rPr>
          <w:rFonts w:cs="Times New Roman"/>
          <w:szCs w:val="24"/>
        </w:rPr>
        <w:t xml:space="preserve">have incurred well over $300,000 in </w:t>
      </w:r>
      <w:r w:rsidR="007B1B97">
        <w:rPr>
          <w:rFonts w:cs="Times New Roman"/>
          <w:szCs w:val="24"/>
        </w:rPr>
        <w:t xml:space="preserve">reasonable and necessary </w:t>
      </w:r>
      <w:r>
        <w:rPr>
          <w:rFonts w:cs="Times New Roman"/>
          <w:szCs w:val="24"/>
        </w:rPr>
        <w:t>rate case expenses</w:t>
      </w:r>
      <w:r w:rsidR="007B1B97">
        <w:rPr>
          <w:rFonts w:cs="Times New Roman"/>
          <w:szCs w:val="24"/>
        </w:rPr>
        <w:t xml:space="preserve"> in this docket</w:t>
      </w:r>
      <w:r w:rsidR="0045762C" w:rsidRPr="00455C5B">
        <w:rPr>
          <w:rFonts w:cs="Times New Roman"/>
          <w:szCs w:val="24"/>
        </w:rPr>
        <w:t>.</w:t>
      </w:r>
    </w:p>
    <w:p w14:paraId="26C1055C" w14:textId="77777777" w:rsidR="00F66C07" w:rsidRPr="00F66C07" w:rsidRDefault="00F66C07" w:rsidP="00F66C07">
      <w:pPr>
        <w:pStyle w:val="ListParagraph"/>
        <w:numPr>
          <w:ilvl w:val="0"/>
          <w:numId w:val="2"/>
        </w:numPr>
        <w:autoSpaceDE w:val="0"/>
        <w:autoSpaceDN w:val="0"/>
        <w:adjustRightInd w:val="0"/>
        <w:spacing w:line="480" w:lineRule="auto"/>
        <w:ind w:left="720"/>
        <w:rPr>
          <w:rFonts w:cs="Times New Roman"/>
          <w:bCs/>
          <w:szCs w:val="24"/>
        </w:rPr>
      </w:pPr>
      <w:r w:rsidRPr="00455C5B">
        <w:rPr>
          <w:rFonts w:cs="Times New Roman"/>
          <w:szCs w:val="24"/>
        </w:rPr>
        <w:t>The Signatories agreed that</w:t>
      </w:r>
      <w:r>
        <w:rPr>
          <w:rFonts w:cs="Times New Roman"/>
          <w:szCs w:val="24"/>
        </w:rPr>
        <w:t>,</w:t>
      </w:r>
      <w:r w:rsidRPr="00455C5B">
        <w:rPr>
          <w:rFonts w:cs="Times New Roman"/>
          <w:szCs w:val="24"/>
        </w:rPr>
        <w:t xml:space="preserve"> effective </w:t>
      </w:r>
      <w:r>
        <w:rPr>
          <w:rFonts w:cs="Times New Roman"/>
          <w:szCs w:val="24"/>
        </w:rPr>
        <w:t>August 1, 2017,</w:t>
      </w:r>
      <w:r w:rsidRPr="00455C5B">
        <w:rPr>
          <w:rFonts w:cs="Times New Roman"/>
          <w:szCs w:val="24"/>
        </w:rPr>
        <w:t xml:space="preserve"> </w:t>
      </w:r>
      <w:r>
        <w:rPr>
          <w:rFonts w:cs="Times New Roman"/>
          <w:szCs w:val="24"/>
        </w:rPr>
        <w:t>Liberty Tall Timbers and Liberty Woodmark</w:t>
      </w:r>
      <w:r w:rsidRPr="00455C5B">
        <w:rPr>
          <w:rFonts w:cs="Times New Roman"/>
          <w:szCs w:val="24"/>
        </w:rPr>
        <w:t xml:space="preserve"> shall be allowed to recover $300,000 in rate case expenses through a surcharge of $3.59 per Liberty Tall Timbers and Liberty Woodmark connection per month over two years or until $300,000.00 is recovered.</w:t>
      </w:r>
    </w:p>
    <w:p w14:paraId="55F75C5C" w14:textId="77777777" w:rsidR="007B1B97" w:rsidRPr="007B1B97" w:rsidRDefault="007B1B97" w:rsidP="00D1436D">
      <w:pPr>
        <w:pStyle w:val="ListParagraph"/>
        <w:numPr>
          <w:ilvl w:val="0"/>
          <w:numId w:val="2"/>
        </w:numPr>
        <w:autoSpaceDE w:val="0"/>
        <w:autoSpaceDN w:val="0"/>
        <w:adjustRightInd w:val="0"/>
        <w:spacing w:line="480" w:lineRule="auto"/>
        <w:ind w:left="720"/>
        <w:rPr>
          <w:rFonts w:cs="Times New Roman"/>
          <w:bCs/>
          <w:szCs w:val="24"/>
        </w:rPr>
      </w:pPr>
      <w:r>
        <w:rPr>
          <w:rFonts w:cs="Times New Roman"/>
          <w:szCs w:val="24"/>
        </w:rPr>
        <w:t>It is appropriate to limit recovery of rate case expenses as the Signatories have agreed.</w:t>
      </w:r>
    </w:p>
    <w:p w14:paraId="0D9F0945" w14:textId="77777777" w:rsidR="00D411DB" w:rsidRPr="007B1B97" w:rsidRDefault="007B1B97" w:rsidP="008B7110">
      <w:pPr>
        <w:keepNext/>
        <w:keepLines/>
        <w:autoSpaceDE w:val="0"/>
        <w:autoSpaceDN w:val="0"/>
        <w:adjustRightInd w:val="0"/>
        <w:spacing w:line="480" w:lineRule="auto"/>
        <w:rPr>
          <w:rFonts w:cs="Times New Roman"/>
          <w:bCs/>
          <w:szCs w:val="24"/>
          <w:u w:val="single"/>
        </w:rPr>
      </w:pPr>
      <w:r w:rsidRPr="007B1B97">
        <w:rPr>
          <w:rFonts w:cs="Times New Roman"/>
          <w:b/>
          <w:i/>
          <w:szCs w:val="24"/>
          <w:u w:val="single"/>
        </w:rPr>
        <w:t>Volumetric Rate Consideration</w:t>
      </w:r>
      <w:r w:rsidR="0045762C" w:rsidRPr="007B1B97">
        <w:rPr>
          <w:rFonts w:cs="Times New Roman"/>
          <w:szCs w:val="24"/>
          <w:u w:val="single"/>
        </w:rPr>
        <w:t xml:space="preserve"> </w:t>
      </w:r>
    </w:p>
    <w:p w14:paraId="2933595C" w14:textId="77777777" w:rsidR="00455C5B" w:rsidRPr="007B1B97" w:rsidRDefault="007C279C" w:rsidP="008B7110">
      <w:pPr>
        <w:pStyle w:val="ListParagraph"/>
        <w:keepNext/>
        <w:keepLines/>
        <w:numPr>
          <w:ilvl w:val="0"/>
          <w:numId w:val="2"/>
        </w:numPr>
        <w:autoSpaceDE w:val="0"/>
        <w:autoSpaceDN w:val="0"/>
        <w:adjustRightInd w:val="0"/>
        <w:spacing w:line="480" w:lineRule="auto"/>
        <w:ind w:left="720"/>
        <w:rPr>
          <w:rFonts w:cs="Times New Roman"/>
          <w:szCs w:val="24"/>
        </w:rPr>
      </w:pPr>
      <w:r>
        <w:rPr>
          <w:rFonts w:cs="Times New Roman"/>
          <w:bCs/>
          <w:szCs w:val="24"/>
        </w:rPr>
        <w:t>T</w:t>
      </w:r>
      <w:r w:rsidR="00D1436D" w:rsidRPr="00D411DB">
        <w:rPr>
          <w:rFonts w:cs="Times New Roman"/>
          <w:bCs/>
          <w:szCs w:val="24"/>
        </w:rPr>
        <w:t xml:space="preserve">he Signatories agreed </w:t>
      </w:r>
      <w:r>
        <w:rPr>
          <w:rFonts w:cs="Times New Roman"/>
          <w:bCs/>
          <w:szCs w:val="24"/>
        </w:rPr>
        <w:t>not to implement</w:t>
      </w:r>
      <w:r w:rsidR="00455C5B">
        <w:rPr>
          <w:rFonts w:cs="Times New Roman"/>
          <w:bCs/>
          <w:szCs w:val="24"/>
        </w:rPr>
        <w:t xml:space="preserve"> volumetric rates</w:t>
      </w:r>
      <w:r>
        <w:rPr>
          <w:rFonts w:cs="Times New Roman"/>
          <w:bCs/>
          <w:szCs w:val="24"/>
        </w:rPr>
        <w:t xml:space="preserve"> after considering a proposal for same developed by the Applicants, but the Signatories agree</w:t>
      </w:r>
      <w:r w:rsidR="00181823">
        <w:rPr>
          <w:rFonts w:cs="Times New Roman"/>
          <w:bCs/>
          <w:szCs w:val="24"/>
        </w:rPr>
        <w:t>d in the Addendum</w:t>
      </w:r>
      <w:r>
        <w:rPr>
          <w:rFonts w:cs="Times New Roman"/>
          <w:bCs/>
          <w:szCs w:val="24"/>
        </w:rPr>
        <w:t xml:space="preserve"> that Applicants fulfilled their respective commitments as to volumetric rates set forth in the Stipulation</w:t>
      </w:r>
      <w:r w:rsidR="00455C5B">
        <w:rPr>
          <w:rFonts w:cs="Times New Roman"/>
          <w:bCs/>
          <w:szCs w:val="24"/>
        </w:rPr>
        <w:t>.</w:t>
      </w:r>
    </w:p>
    <w:p w14:paraId="31F7E83A" w14:textId="77777777" w:rsidR="007B1B97" w:rsidRPr="007B1B97" w:rsidRDefault="007B1B97" w:rsidP="007B1B97">
      <w:pPr>
        <w:autoSpaceDE w:val="0"/>
        <w:autoSpaceDN w:val="0"/>
        <w:adjustRightInd w:val="0"/>
        <w:spacing w:line="480" w:lineRule="auto"/>
        <w:rPr>
          <w:rFonts w:cs="Times New Roman"/>
          <w:bCs/>
          <w:szCs w:val="24"/>
          <w:u w:val="single"/>
        </w:rPr>
      </w:pPr>
      <w:r>
        <w:rPr>
          <w:rFonts w:cs="Times New Roman"/>
          <w:b/>
          <w:i/>
          <w:szCs w:val="24"/>
          <w:u w:val="single"/>
        </w:rPr>
        <w:t>No Refunds/Credits</w:t>
      </w:r>
      <w:r w:rsidRPr="007B1B97">
        <w:rPr>
          <w:rFonts w:cs="Times New Roman"/>
          <w:szCs w:val="24"/>
          <w:u w:val="single"/>
        </w:rPr>
        <w:t xml:space="preserve"> </w:t>
      </w:r>
    </w:p>
    <w:p w14:paraId="0E94CFB1" w14:textId="77777777" w:rsidR="00E5437B" w:rsidRDefault="0045762C" w:rsidP="00D1436D">
      <w:pPr>
        <w:pStyle w:val="ListParagraph"/>
        <w:numPr>
          <w:ilvl w:val="0"/>
          <w:numId w:val="2"/>
        </w:numPr>
        <w:autoSpaceDE w:val="0"/>
        <w:autoSpaceDN w:val="0"/>
        <w:adjustRightInd w:val="0"/>
        <w:spacing w:line="480" w:lineRule="auto"/>
        <w:ind w:left="720"/>
        <w:rPr>
          <w:rFonts w:cs="Times New Roman"/>
          <w:szCs w:val="24"/>
        </w:rPr>
      </w:pPr>
      <w:r w:rsidRPr="00E5437B">
        <w:rPr>
          <w:rFonts w:cs="Times New Roman"/>
          <w:szCs w:val="24"/>
        </w:rPr>
        <w:t>The Signatories agree</w:t>
      </w:r>
      <w:r w:rsidR="001659C6" w:rsidRPr="00E5437B">
        <w:rPr>
          <w:rFonts w:cs="Times New Roman"/>
          <w:szCs w:val="24"/>
        </w:rPr>
        <w:t>d</w:t>
      </w:r>
      <w:r w:rsidRPr="00E5437B">
        <w:rPr>
          <w:rFonts w:cs="Times New Roman"/>
          <w:szCs w:val="24"/>
        </w:rPr>
        <w:t xml:space="preserve"> that </w:t>
      </w:r>
      <w:r w:rsidR="00E5437B">
        <w:rPr>
          <w:rFonts w:cs="Times New Roman"/>
          <w:szCs w:val="24"/>
        </w:rPr>
        <w:t xml:space="preserve">Liberty Utilities </w:t>
      </w:r>
      <w:r w:rsidR="00DD51D7">
        <w:rPr>
          <w:rFonts w:cs="Times New Roman"/>
          <w:szCs w:val="24"/>
        </w:rPr>
        <w:t>would</w:t>
      </w:r>
      <w:r w:rsidRPr="00E5437B">
        <w:rPr>
          <w:rFonts w:cs="Times New Roman"/>
          <w:szCs w:val="24"/>
        </w:rPr>
        <w:t xml:space="preserve"> not be required to</w:t>
      </w:r>
      <w:r w:rsidR="00D1436D" w:rsidRPr="00E5437B">
        <w:rPr>
          <w:rFonts w:cs="Times New Roman"/>
          <w:szCs w:val="24"/>
        </w:rPr>
        <w:t xml:space="preserve"> </w:t>
      </w:r>
      <w:r w:rsidRPr="00E5437B">
        <w:rPr>
          <w:rFonts w:cs="Times New Roman"/>
          <w:szCs w:val="24"/>
        </w:rPr>
        <w:t xml:space="preserve">issue any refunds or credits, nor </w:t>
      </w:r>
      <w:r w:rsidR="004B2C40">
        <w:rPr>
          <w:rFonts w:cs="Times New Roman"/>
          <w:szCs w:val="24"/>
        </w:rPr>
        <w:t xml:space="preserve">would the </w:t>
      </w:r>
      <w:r w:rsidRPr="00E5437B">
        <w:rPr>
          <w:rFonts w:cs="Times New Roman"/>
          <w:szCs w:val="24"/>
        </w:rPr>
        <w:t>Applicants apply any surcharge, for any</w:t>
      </w:r>
      <w:r w:rsidR="00D1436D" w:rsidRPr="00E5437B">
        <w:rPr>
          <w:rFonts w:cs="Times New Roman"/>
          <w:szCs w:val="24"/>
        </w:rPr>
        <w:t xml:space="preserve"> </w:t>
      </w:r>
      <w:r w:rsidRPr="00E5437B">
        <w:rPr>
          <w:rFonts w:cs="Times New Roman"/>
          <w:szCs w:val="24"/>
        </w:rPr>
        <w:t xml:space="preserve">difference between </w:t>
      </w:r>
      <w:r w:rsidR="004B2C40">
        <w:rPr>
          <w:rFonts w:cs="Times New Roman"/>
          <w:szCs w:val="24"/>
        </w:rPr>
        <w:t>the</w:t>
      </w:r>
      <w:r w:rsidRPr="00E5437B">
        <w:rPr>
          <w:rFonts w:cs="Times New Roman"/>
          <w:szCs w:val="24"/>
        </w:rPr>
        <w:t xml:space="preserve"> interim rates in effect between August 1, 2017 and volumetric rates </w:t>
      </w:r>
      <w:r w:rsidR="004B2C40">
        <w:rPr>
          <w:rFonts w:cs="Times New Roman"/>
          <w:szCs w:val="24"/>
        </w:rPr>
        <w:t>that might have been put into effect for use in t</w:t>
      </w:r>
      <w:r w:rsidRPr="00E5437B">
        <w:rPr>
          <w:rFonts w:cs="Times New Roman"/>
          <w:szCs w:val="24"/>
        </w:rPr>
        <w:t>heir place going forward.</w:t>
      </w:r>
      <w:r w:rsidR="007B1B97">
        <w:rPr>
          <w:rStyle w:val="FootnoteReference"/>
          <w:rFonts w:cs="Times New Roman"/>
          <w:szCs w:val="24"/>
        </w:rPr>
        <w:footnoteReference w:id="5"/>
      </w:r>
      <w:r w:rsidR="00D1436D" w:rsidRPr="00E5437B">
        <w:rPr>
          <w:rFonts w:cs="Times New Roman"/>
          <w:szCs w:val="24"/>
        </w:rPr>
        <w:t xml:space="preserve"> </w:t>
      </w:r>
      <w:r w:rsidR="007B1B97">
        <w:rPr>
          <w:rFonts w:cs="Times New Roman"/>
          <w:szCs w:val="24"/>
        </w:rPr>
        <w:t xml:space="preserve"> </w:t>
      </w:r>
      <w:r w:rsidR="00DB27DD">
        <w:rPr>
          <w:rFonts w:cs="Times New Roman"/>
          <w:szCs w:val="24"/>
        </w:rPr>
        <w:t>T</w:t>
      </w:r>
      <w:r w:rsidR="00F80E06">
        <w:rPr>
          <w:rFonts w:cs="Times New Roman"/>
          <w:szCs w:val="24"/>
        </w:rPr>
        <w:t xml:space="preserve">he </w:t>
      </w:r>
      <w:r w:rsidR="00DB27DD">
        <w:rPr>
          <w:rFonts w:cs="Times New Roman"/>
          <w:szCs w:val="24"/>
        </w:rPr>
        <w:t xml:space="preserve">Signatories further agreed in the Stipulation that </w:t>
      </w:r>
      <w:r w:rsidRPr="00E5437B">
        <w:rPr>
          <w:rFonts w:cs="Times New Roman"/>
          <w:szCs w:val="24"/>
        </w:rPr>
        <w:t>Applicants will keep all revenue collected under the agreed interim rate schedule.</w:t>
      </w:r>
    </w:p>
    <w:p w14:paraId="7DF06BE0" w14:textId="77777777" w:rsidR="007B1B97" w:rsidRPr="007B1B97" w:rsidRDefault="00073FE6" w:rsidP="007B1B97">
      <w:pPr>
        <w:autoSpaceDE w:val="0"/>
        <w:autoSpaceDN w:val="0"/>
        <w:adjustRightInd w:val="0"/>
        <w:spacing w:line="480" w:lineRule="auto"/>
        <w:rPr>
          <w:rFonts w:cs="Times New Roman"/>
          <w:bCs/>
          <w:szCs w:val="24"/>
          <w:u w:val="single"/>
        </w:rPr>
      </w:pPr>
      <w:r>
        <w:rPr>
          <w:rFonts w:cs="Times New Roman"/>
          <w:b/>
          <w:i/>
          <w:szCs w:val="24"/>
          <w:u w:val="single"/>
        </w:rPr>
        <w:t xml:space="preserve">Agreements Related to </w:t>
      </w:r>
      <w:r w:rsidR="007B1B97">
        <w:rPr>
          <w:rFonts w:cs="Times New Roman"/>
          <w:b/>
          <w:i/>
          <w:szCs w:val="24"/>
          <w:u w:val="single"/>
        </w:rPr>
        <w:t>Future Rate Filings</w:t>
      </w:r>
      <w:r w:rsidR="007B1B97" w:rsidRPr="007B1B97">
        <w:rPr>
          <w:rFonts w:cs="Times New Roman"/>
          <w:szCs w:val="24"/>
          <w:u w:val="single"/>
        </w:rPr>
        <w:t xml:space="preserve"> </w:t>
      </w:r>
    </w:p>
    <w:p w14:paraId="0B676185" w14:textId="77777777" w:rsidR="00E5437B" w:rsidRDefault="0045762C" w:rsidP="00D1436D">
      <w:pPr>
        <w:pStyle w:val="ListParagraph"/>
        <w:numPr>
          <w:ilvl w:val="0"/>
          <w:numId w:val="2"/>
        </w:numPr>
        <w:autoSpaceDE w:val="0"/>
        <w:autoSpaceDN w:val="0"/>
        <w:adjustRightInd w:val="0"/>
        <w:spacing w:line="480" w:lineRule="auto"/>
        <w:ind w:left="720"/>
        <w:rPr>
          <w:rFonts w:cs="Times New Roman"/>
          <w:szCs w:val="24"/>
        </w:rPr>
      </w:pPr>
      <w:r w:rsidRPr="00E5437B">
        <w:rPr>
          <w:rFonts w:cs="Times New Roman"/>
          <w:szCs w:val="24"/>
        </w:rPr>
        <w:t>The Signatories agree</w:t>
      </w:r>
      <w:r w:rsidR="001659C6" w:rsidRPr="00E5437B">
        <w:rPr>
          <w:rFonts w:cs="Times New Roman"/>
          <w:szCs w:val="24"/>
        </w:rPr>
        <w:t>d</w:t>
      </w:r>
      <w:r w:rsidRPr="00E5437B">
        <w:rPr>
          <w:rFonts w:cs="Times New Roman"/>
          <w:szCs w:val="24"/>
        </w:rPr>
        <w:t xml:space="preserve"> that Liberty Tall Timbers and</w:t>
      </w:r>
      <w:r w:rsidR="00D1436D" w:rsidRPr="00E5437B">
        <w:rPr>
          <w:rFonts w:cs="Times New Roman"/>
          <w:szCs w:val="24"/>
        </w:rPr>
        <w:t xml:space="preserve"> </w:t>
      </w:r>
      <w:r w:rsidRPr="00E5437B">
        <w:rPr>
          <w:rFonts w:cs="Times New Roman"/>
          <w:szCs w:val="24"/>
        </w:rPr>
        <w:t>Liberty Woodmark’s next rate case(s) will be submitted utilizing a test year ending</w:t>
      </w:r>
      <w:r w:rsidR="00D1436D" w:rsidRPr="00E5437B">
        <w:rPr>
          <w:rFonts w:cs="Times New Roman"/>
          <w:szCs w:val="24"/>
        </w:rPr>
        <w:t xml:space="preserve"> </w:t>
      </w:r>
      <w:r w:rsidRPr="00E5437B">
        <w:rPr>
          <w:rFonts w:cs="Times New Roman"/>
          <w:szCs w:val="24"/>
        </w:rPr>
        <w:t xml:space="preserve">no sooner than </w:t>
      </w:r>
      <w:r w:rsidR="00E5437B">
        <w:rPr>
          <w:rFonts w:cs="Times New Roman"/>
          <w:szCs w:val="24"/>
        </w:rPr>
        <w:t xml:space="preserve">July 31, 2020, </w:t>
      </w:r>
      <w:r w:rsidRPr="00E5437B">
        <w:rPr>
          <w:rFonts w:cs="Times New Roman"/>
          <w:szCs w:val="24"/>
        </w:rPr>
        <w:t xml:space="preserve">unless </w:t>
      </w:r>
      <w:r w:rsidR="00E5437B">
        <w:rPr>
          <w:rFonts w:cs="Times New Roman"/>
          <w:szCs w:val="24"/>
        </w:rPr>
        <w:t xml:space="preserve">otherwise </w:t>
      </w:r>
      <w:r w:rsidRPr="00E5437B">
        <w:rPr>
          <w:rFonts w:cs="Times New Roman"/>
          <w:szCs w:val="24"/>
        </w:rPr>
        <w:t>required by the Commission, Commission Rule, or statute.</w:t>
      </w:r>
    </w:p>
    <w:p w14:paraId="1814E996" w14:textId="77777777" w:rsidR="00073FE6" w:rsidRDefault="007B1B97" w:rsidP="007B1B97">
      <w:pPr>
        <w:pStyle w:val="ListParagraph"/>
        <w:numPr>
          <w:ilvl w:val="0"/>
          <w:numId w:val="2"/>
        </w:numPr>
        <w:autoSpaceDE w:val="0"/>
        <w:autoSpaceDN w:val="0"/>
        <w:adjustRightInd w:val="0"/>
        <w:spacing w:line="480" w:lineRule="auto"/>
        <w:ind w:left="720"/>
        <w:rPr>
          <w:rFonts w:cs="Times New Roman"/>
          <w:szCs w:val="24"/>
        </w:rPr>
      </w:pPr>
      <w:r w:rsidRPr="00D411DB">
        <w:rPr>
          <w:rFonts w:cs="Times New Roman"/>
          <w:bCs/>
          <w:szCs w:val="24"/>
        </w:rPr>
        <w:t xml:space="preserve">The Signatories agreed </w:t>
      </w:r>
      <w:r>
        <w:rPr>
          <w:rFonts w:cs="Times New Roman"/>
          <w:bCs/>
          <w:szCs w:val="24"/>
        </w:rPr>
        <w:t xml:space="preserve">that they </w:t>
      </w:r>
      <w:r>
        <w:rPr>
          <w:rFonts w:cs="Times New Roman"/>
          <w:szCs w:val="24"/>
        </w:rPr>
        <w:t>retain</w:t>
      </w:r>
      <w:r w:rsidRPr="00D411DB">
        <w:rPr>
          <w:rFonts w:cs="Times New Roman"/>
          <w:szCs w:val="24"/>
        </w:rPr>
        <w:t xml:space="preserve"> the right to litigate all rate base or return issues in future Liberty Tall Timbers or Liberty Woodmark rate cases</w:t>
      </w:r>
      <w:r>
        <w:rPr>
          <w:rFonts w:cs="Times New Roman"/>
          <w:szCs w:val="24"/>
        </w:rPr>
        <w:t xml:space="preserve">.  </w:t>
      </w:r>
      <w:r w:rsidRPr="00D411DB">
        <w:rPr>
          <w:rFonts w:cs="Times New Roman"/>
          <w:szCs w:val="24"/>
        </w:rPr>
        <w:t>For future T</w:t>
      </w:r>
      <w:r>
        <w:rPr>
          <w:rFonts w:cs="Times New Roman"/>
          <w:szCs w:val="24"/>
        </w:rPr>
        <w:t>exas Water Code (TWC)</w:t>
      </w:r>
      <w:r w:rsidRPr="00D411DB">
        <w:rPr>
          <w:rFonts w:cs="Times New Roman"/>
          <w:szCs w:val="24"/>
        </w:rPr>
        <w:t xml:space="preserve"> § 13.1871 rate filings, Liberty Tall Timbers </w:t>
      </w:r>
      <w:r>
        <w:rPr>
          <w:rFonts w:cs="Times New Roman"/>
          <w:szCs w:val="24"/>
        </w:rPr>
        <w:t>agreed to</w:t>
      </w:r>
      <w:r w:rsidRPr="00D411DB">
        <w:rPr>
          <w:rFonts w:cs="Times New Roman"/>
          <w:szCs w:val="24"/>
        </w:rPr>
        <w:t xml:space="preserve"> present both Tyler and Commission Staff a complete listing of all assets proposed to be included in rate base for review 60 days prior to such filing</w:t>
      </w:r>
      <w:r>
        <w:rPr>
          <w:rFonts w:cs="Times New Roman"/>
          <w:szCs w:val="24"/>
        </w:rPr>
        <w:t>.  A list of Liberty Woodmark assets must be submitted to Tyler only i</w:t>
      </w:r>
      <w:r w:rsidRPr="00D411DB">
        <w:rPr>
          <w:rFonts w:cs="Times New Roman"/>
          <w:szCs w:val="24"/>
        </w:rPr>
        <w:t>f consolidation between Liberty Tall Timbers and Liberty Woodmark is proposed</w:t>
      </w:r>
      <w:r>
        <w:rPr>
          <w:rFonts w:cs="Times New Roman"/>
          <w:szCs w:val="24"/>
        </w:rPr>
        <w:t xml:space="preserve">.  </w:t>
      </w:r>
      <w:r w:rsidRPr="00D411DB">
        <w:rPr>
          <w:rFonts w:cs="Times New Roman"/>
          <w:szCs w:val="24"/>
        </w:rPr>
        <w:t>Liberty Woodmark will be required to present a list of assets to Commission Staff if separate rate cases are submitted.</w:t>
      </w:r>
    </w:p>
    <w:p w14:paraId="7551D0CB" w14:textId="77777777" w:rsidR="007B1B97" w:rsidRPr="00073FE6" w:rsidRDefault="00073FE6" w:rsidP="00073FE6">
      <w:pPr>
        <w:pStyle w:val="ListParagraph"/>
        <w:numPr>
          <w:ilvl w:val="0"/>
          <w:numId w:val="2"/>
        </w:numPr>
        <w:autoSpaceDE w:val="0"/>
        <w:autoSpaceDN w:val="0"/>
        <w:adjustRightInd w:val="0"/>
        <w:spacing w:line="480" w:lineRule="auto"/>
        <w:ind w:left="720"/>
        <w:rPr>
          <w:rFonts w:cs="Times New Roman"/>
          <w:bCs/>
          <w:szCs w:val="24"/>
        </w:rPr>
      </w:pPr>
      <w:r w:rsidRPr="00E5437B">
        <w:rPr>
          <w:rFonts w:cs="Times New Roman"/>
          <w:szCs w:val="24"/>
        </w:rPr>
        <w:t xml:space="preserve">The Signatories agreed that the corporate cost allocations and the methodologies set forth in the </w:t>
      </w:r>
      <w:r w:rsidRPr="00E5437B">
        <w:rPr>
          <w:rFonts w:cs="Times New Roman"/>
          <w:bCs/>
          <w:szCs w:val="24"/>
        </w:rPr>
        <w:t>Cost Allocation Manual (CAM)</w:t>
      </w:r>
      <w:r>
        <w:rPr>
          <w:rFonts w:cs="Times New Roman"/>
          <w:bCs/>
          <w:szCs w:val="24"/>
        </w:rPr>
        <w:t xml:space="preserve"> fil</w:t>
      </w:r>
      <w:r w:rsidRPr="00E5437B">
        <w:rPr>
          <w:rFonts w:cs="Times New Roman"/>
          <w:szCs w:val="24"/>
        </w:rPr>
        <w:t>ed with the Application are</w:t>
      </w:r>
      <w:r>
        <w:rPr>
          <w:rFonts w:cs="Times New Roman"/>
          <w:szCs w:val="24"/>
        </w:rPr>
        <w:t xml:space="preserve"> reasonable and appropriate (</w:t>
      </w:r>
      <w:r w:rsidRPr="00E5437B">
        <w:rPr>
          <w:rFonts w:cs="Times New Roman"/>
          <w:szCs w:val="24"/>
        </w:rPr>
        <w:t>subject to review and verification of costs by the Signatories in future rate cases</w:t>
      </w:r>
      <w:r>
        <w:rPr>
          <w:rFonts w:cs="Times New Roman"/>
          <w:szCs w:val="24"/>
        </w:rPr>
        <w:t>), including the capitalization of Indirect Overhead (INDOH).  The Signatories agree to other terms related to the CAM and INDOH.</w:t>
      </w:r>
      <w:r w:rsidR="007B1B97" w:rsidRPr="00073FE6">
        <w:rPr>
          <w:rFonts w:cs="Times New Roman"/>
          <w:szCs w:val="24"/>
        </w:rPr>
        <w:t xml:space="preserve">  </w:t>
      </w:r>
    </w:p>
    <w:p w14:paraId="5EC3E984" w14:textId="77777777" w:rsidR="007B1B97" w:rsidRPr="007B1B97" w:rsidRDefault="007B1B97" w:rsidP="007B1B97">
      <w:pPr>
        <w:autoSpaceDE w:val="0"/>
        <w:autoSpaceDN w:val="0"/>
        <w:adjustRightInd w:val="0"/>
        <w:spacing w:line="480" w:lineRule="auto"/>
        <w:rPr>
          <w:rFonts w:cs="Times New Roman"/>
          <w:bCs/>
          <w:szCs w:val="24"/>
          <w:u w:val="single"/>
        </w:rPr>
      </w:pPr>
      <w:r>
        <w:rPr>
          <w:rFonts w:cs="Times New Roman"/>
          <w:b/>
          <w:i/>
          <w:szCs w:val="24"/>
          <w:u w:val="single"/>
        </w:rPr>
        <w:t>Customer Assistance Program</w:t>
      </w:r>
      <w:r w:rsidRPr="007B1B97">
        <w:rPr>
          <w:rFonts w:cs="Times New Roman"/>
          <w:szCs w:val="24"/>
          <w:u w:val="single"/>
        </w:rPr>
        <w:t xml:space="preserve"> </w:t>
      </w:r>
    </w:p>
    <w:p w14:paraId="1CE24AD7" w14:textId="77777777" w:rsidR="007B1B97" w:rsidRDefault="0045762C" w:rsidP="00E5437B">
      <w:pPr>
        <w:pStyle w:val="ListParagraph"/>
        <w:numPr>
          <w:ilvl w:val="0"/>
          <w:numId w:val="2"/>
        </w:numPr>
        <w:autoSpaceDE w:val="0"/>
        <w:autoSpaceDN w:val="0"/>
        <w:adjustRightInd w:val="0"/>
        <w:spacing w:line="480" w:lineRule="auto"/>
        <w:ind w:left="720"/>
        <w:rPr>
          <w:rFonts w:cs="Times New Roman"/>
          <w:szCs w:val="24"/>
        </w:rPr>
      </w:pPr>
      <w:r w:rsidRPr="00E5437B">
        <w:rPr>
          <w:rFonts w:cs="Times New Roman"/>
          <w:szCs w:val="24"/>
        </w:rPr>
        <w:t xml:space="preserve">Liberty </w:t>
      </w:r>
      <w:r w:rsidR="007B1B97">
        <w:rPr>
          <w:rFonts w:cs="Times New Roman"/>
          <w:szCs w:val="24"/>
        </w:rPr>
        <w:t>Tall Timbers and Liberty Woodmark</w:t>
      </w:r>
      <w:r w:rsidRPr="00E5437B">
        <w:rPr>
          <w:rFonts w:cs="Times New Roman"/>
          <w:szCs w:val="24"/>
        </w:rPr>
        <w:t xml:space="preserve"> agree</w:t>
      </w:r>
      <w:r w:rsidR="001659C6" w:rsidRPr="00E5437B">
        <w:rPr>
          <w:rFonts w:cs="Times New Roman"/>
          <w:szCs w:val="24"/>
        </w:rPr>
        <w:t>d</w:t>
      </w:r>
      <w:r w:rsidRPr="00E5437B">
        <w:rPr>
          <w:rFonts w:cs="Times New Roman"/>
          <w:szCs w:val="24"/>
        </w:rPr>
        <w:t xml:space="preserve"> to</w:t>
      </w:r>
      <w:r w:rsidR="00D1436D" w:rsidRPr="00E5437B">
        <w:rPr>
          <w:rFonts w:cs="Times New Roman"/>
          <w:szCs w:val="24"/>
        </w:rPr>
        <w:t xml:space="preserve"> </w:t>
      </w:r>
      <w:r w:rsidRPr="00E5437B">
        <w:rPr>
          <w:rFonts w:cs="Times New Roman"/>
          <w:szCs w:val="24"/>
        </w:rPr>
        <w:t>establish a low-income cus</w:t>
      </w:r>
      <w:r w:rsidR="00E5437B">
        <w:rPr>
          <w:rFonts w:cs="Times New Roman"/>
          <w:szCs w:val="24"/>
        </w:rPr>
        <w:t>tomer assistance program (CAP)</w:t>
      </w:r>
      <w:r w:rsidR="00CF5824">
        <w:rPr>
          <w:rFonts w:cs="Times New Roman"/>
          <w:szCs w:val="24"/>
        </w:rPr>
        <w:t xml:space="preserve"> in conference with the Signatories</w:t>
      </w:r>
      <w:r w:rsidR="00301F0A">
        <w:rPr>
          <w:rFonts w:cs="Times New Roman"/>
          <w:szCs w:val="24"/>
        </w:rPr>
        <w:t xml:space="preserve">. As reflected in the Addendum, the CAP documents that resulted from that consultation process are included </w:t>
      </w:r>
      <w:r w:rsidR="00E5437B">
        <w:rPr>
          <w:rFonts w:cs="Times New Roman"/>
          <w:szCs w:val="24"/>
        </w:rPr>
        <w:t xml:space="preserve">in </w:t>
      </w:r>
      <w:r w:rsidR="00B17125">
        <w:rPr>
          <w:rFonts w:cs="Times New Roman"/>
          <w:szCs w:val="24"/>
        </w:rPr>
        <w:t xml:space="preserve">Addendum </w:t>
      </w:r>
      <w:r w:rsidR="00F17B8D">
        <w:rPr>
          <w:rFonts w:cs="Times New Roman"/>
          <w:szCs w:val="24"/>
        </w:rPr>
        <w:t>Exhibit</w:t>
      </w:r>
      <w:r w:rsidR="00E5437B">
        <w:rPr>
          <w:rFonts w:cs="Times New Roman"/>
          <w:szCs w:val="24"/>
        </w:rPr>
        <w:t xml:space="preserve"> C</w:t>
      </w:r>
      <w:r w:rsidR="00301F0A">
        <w:rPr>
          <w:rFonts w:cs="Times New Roman"/>
          <w:szCs w:val="24"/>
        </w:rPr>
        <w:t xml:space="preserve">.  Liberty Utilities also agreed to </w:t>
      </w:r>
      <w:r w:rsidR="00CF5824">
        <w:rPr>
          <w:rFonts w:cs="Times New Roman"/>
          <w:szCs w:val="24"/>
        </w:rPr>
        <w:t>other CAP-related terms described in the Stipulation.</w:t>
      </w:r>
    </w:p>
    <w:p w14:paraId="305DE470" w14:textId="77777777" w:rsidR="00D411DB" w:rsidRPr="00073FE6" w:rsidRDefault="00E5437B" w:rsidP="007B1B97">
      <w:pPr>
        <w:autoSpaceDE w:val="0"/>
        <w:autoSpaceDN w:val="0"/>
        <w:adjustRightInd w:val="0"/>
        <w:spacing w:line="480" w:lineRule="auto"/>
        <w:rPr>
          <w:rFonts w:cs="Times New Roman"/>
          <w:bCs/>
          <w:szCs w:val="24"/>
          <w:u w:val="single"/>
        </w:rPr>
      </w:pPr>
      <w:r w:rsidRPr="007B1B97">
        <w:rPr>
          <w:rFonts w:cs="Times New Roman"/>
          <w:szCs w:val="24"/>
        </w:rPr>
        <w:t xml:space="preserve"> </w:t>
      </w:r>
      <w:r w:rsidR="00073FE6">
        <w:rPr>
          <w:rFonts w:cs="Times New Roman"/>
          <w:b/>
          <w:i/>
          <w:szCs w:val="24"/>
          <w:u w:val="single"/>
        </w:rPr>
        <w:t>Tyler Commitments Related to TCEQ Permit Applications</w:t>
      </w:r>
      <w:r w:rsidR="00073FE6" w:rsidRPr="007B1B97">
        <w:rPr>
          <w:rFonts w:cs="Times New Roman"/>
          <w:szCs w:val="24"/>
          <w:u w:val="single"/>
        </w:rPr>
        <w:t xml:space="preserve"> </w:t>
      </w:r>
    </w:p>
    <w:p w14:paraId="1D11575C" w14:textId="77777777" w:rsidR="00301F0A" w:rsidRDefault="00301F0A" w:rsidP="00BE52E2">
      <w:pPr>
        <w:pStyle w:val="ListParagraph"/>
        <w:numPr>
          <w:ilvl w:val="0"/>
          <w:numId w:val="2"/>
        </w:numPr>
        <w:autoSpaceDE w:val="0"/>
        <w:autoSpaceDN w:val="0"/>
        <w:adjustRightInd w:val="0"/>
        <w:spacing w:line="480" w:lineRule="auto"/>
        <w:ind w:left="720"/>
        <w:rPr>
          <w:rFonts w:cs="Times New Roman"/>
          <w:bCs/>
          <w:szCs w:val="24"/>
        </w:rPr>
      </w:pPr>
      <w:r>
        <w:rPr>
          <w:rFonts w:cs="Times New Roman"/>
          <w:bCs/>
          <w:szCs w:val="24"/>
        </w:rPr>
        <w:t>Tyler agreed to withdraw its hearing requests and comments challenging TCEQ permit applications filed by Liberty Tall Timbers and Liberty Woodmark.  As reflected in the Addendum, Tyler withdrew those hearing requests and comments following the Stipulation.</w:t>
      </w:r>
    </w:p>
    <w:p w14:paraId="3D512084" w14:textId="77777777" w:rsidR="004B7044" w:rsidRPr="004B7044" w:rsidRDefault="00395A3F" w:rsidP="004B7044">
      <w:pPr>
        <w:autoSpaceDE w:val="0"/>
        <w:autoSpaceDN w:val="0"/>
        <w:adjustRightInd w:val="0"/>
        <w:spacing w:line="480" w:lineRule="auto"/>
        <w:rPr>
          <w:rFonts w:cs="Times New Roman"/>
          <w:bCs/>
          <w:szCs w:val="24"/>
        </w:rPr>
      </w:pPr>
      <w:r>
        <w:rPr>
          <w:rFonts w:cs="Times New Roman"/>
          <w:b/>
          <w:i/>
          <w:szCs w:val="24"/>
          <w:u w:val="single"/>
        </w:rPr>
        <w:t>Applicant</w:t>
      </w:r>
      <w:r w:rsidR="004B7044">
        <w:rPr>
          <w:rFonts w:cs="Times New Roman"/>
          <w:b/>
          <w:i/>
          <w:szCs w:val="24"/>
          <w:u w:val="single"/>
        </w:rPr>
        <w:t xml:space="preserve"> Commitments Related to </w:t>
      </w:r>
      <w:r>
        <w:rPr>
          <w:rFonts w:cs="Times New Roman"/>
          <w:b/>
          <w:i/>
          <w:szCs w:val="24"/>
          <w:u w:val="single"/>
        </w:rPr>
        <w:t>Future WWTP Expansions</w:t>
      </w:r>
    </w:p>
    <w:p w14:paraId="6C59355A" w14:textId="77777777" w:rsidR="009D6961" w:rsidRPr="00395A3F" w:rsidRDefault="009D6961" w:rsidP="00BE52E2">
      <w:pPr>
        <w:pStyle w:val="ListParagraph"/>
        <w:numPr>
          <w:ilvl w:val="0"/>
          <w:numId w:val="2"/>
        </w:numPr>
        <w:autoSpaceDE w:val="0"/>
        <w:autoSpaceDN w:val="0"/>
        <w:adjustRightInd w:val="0"/>
        <w:spacing w:line="480" w:lineRule="auto"/>
        <w:ind w:left="720"/>
        <w:rPr>
          <w:rFonts w:cs="Times New Roman"/>
          <w:bCs/>
          <w:szCs w:val="24"/>
        </w:rPr>
      </w:pPr>
      <w:r>
        <w:rPr>
          <w:rFonts w:cs="Times New Roman"/>
          <w:szCs w:val="24"/>
        </w:rPr>
        <w:t>The Signatories agreed that, b</w:t>
      </w:r>
      <w:r w:rsidR="0045762C" w:rsidRPr="009D6961">
        <w:rPr>
          <w:rFonts w:cs="Times New Roman"/>
          <w:szCs w:val="24"/>
        </w:rPr>
        <w:t>efore expanding either the</w:t>
      </w:r>
      <w:r w:rsidR="00BE52E2" w:rsidRPr="009D6961">
        <w:rPr>
          <w:rFonts w:cs="Times New Roman"/>
          <w:szCs w:val="24"/>
        </w:rPr>
        <w:t xml:space="preserve"> </w:t>
      </w:r>
      <w:r w:rsidR="0045762C" w:rsidRPr="009D6961">
        <w:rPr>
          <w:rFonts w:cs="Times New Roman"/>
          <w:szCs w:val="24"/>
        </w:rPr>
        <w:t>Liberty Tall Timbers or Liberty Woodmark wastewater treatment plants in the</w:t>
      </w:r>
      <w:r w:rsidR="00BE52E2" w:rsidRPr="009D6961">
        <w:rPr>
          <w:rFonts w:cs="Times New Roman"/>
          <w:szCs w:val="24"/>
        </w:rPr>
        <w:t xml:space="preserve"> </w:t>
      </w:r>
      <w:r w:rsidR="0045762C" w:rsidRPr="009D6961">
        <w:rPr>
          <w:rFonts w:cs="Times New Roman"/>
          <w:szCs w:val="24"/>
        </w:rPr>
        <w:t>future, the Liberty Utilities entity planning the expansion will submit to Tyler a</w:t>
      </w:r>
      <w:r w:rsidR="00BE52E2" w:rsidRPr="009D6961">
        <w:rPr>
          <w:rFonts w:cs="Times New Roman"/>
          <w:szCs w:val="24"/>
        </w:rPr>
        <w:t xml:space="preserve"> </w:t>
      </w:r>
      <w:r w:rsidR="0045762C" w:rsidRPr="009D6961">
        <w:rPr>
          <w:rFonts w:cs="Times New Roman"/>
          <w:szCs w:val="24"/>
        </w:rPr>
        <w:t>written request for a proposal for sale of wholesale treatment capacity service from</w:t>
      </w:r>
      <w:r w:rsidR="00BE52E2" w:rsidRPr="009D6961">
        <w:rPr>
          <w:rFonts w:cs="Times New Roman"/>
          <w:szCs w:val="24"/>
        </w:rPr>
        <w:t xml:space="preserve"> </w:t>
      </w:r>
      <w:r w:rsidR="0045762C" w:rsidRPr="009D6961">
        <w:rPr>
          <w:rFonts w:cs="Times New Roman"/>
          <w:szCs w:val="24"/>
        </w:rPr>
        <w:t>Tyler</w:t>
      </w:r>
      <w:r w:rsidR="001659C6" w:rsidRPr="009D6961">
        <w:rPr>
          <w:rFonts w:cs="Times New Roman"/>
          <w:szCs w:val="24"/>
        </w:rPr>
        <w:t xml:space="preserve">.  </w:t>
      </w:r>
      <w:r w:rsidR="0045762C" w:rsidRPr="009D6961">
        <w:rPr>
          <w:rFonts w:cs="Times New Roman"/>
          <w:szCs w:val="24"/>
        </w:rPr>
        <w:t>The request shall contain sufficient information to allow Tyler to prepare a</w:t>
      </w:r>
      <w:r w:rsidR="00BE52E2" w:rsidRPr="009D6961">
        <w:rPr>
          <w:rFonts w:cs="Times New Roman"/>
          <w:szCs w:val="24"/>
        </w:rPr>
        <w:t xml:space="preserve"> </w:t>
      </w:r>
      <w:r w:rsidR="0045762C" w:rsidRPr="009D6961">
        <w:rPr>
          <w:rFonts w:cs="Times New Roman"/>
          <w:szCs w:val="24"/>
        </w:rPr>
        <w:t>proposed wholesale agreement</w:t>
      </w:r>
      <w:r w:rsidR="001659C6" w:rsidRPr="009D6961">
        <w:rPr>
          <w:rFonts w:cs="Times New Roman"/>
          <w:szCs w:val="24"/>
        </w:rPr>
        <w:t xml:space="preserve">.  </w:t>
      </w:r>
      <w:r w:rsidR="0045762C" w:rsidRPr="009D6961">
        <w:rPr>
          <w:rFonts w:cs="Times New Roman"/>
          <w:szCs w:val="24"/>
        </w:rPr>
        <w:t>Liberty Utilities will make any such request for</w:t>
      </w:r>
      <w:r w:rsidR="00BE52E2" w:rsidRPr="009D6961">
        <w:rPr>
          <w:rFonts w:cs="Times New Roman"/>
          <w:szCs w:val="24"/>
        </w:rPr>
        <w:t xml:space="preserve"> </w:t>
      </w:r>
      <w:r w:rsidR="0045762C" w:rsidRPr="009D6961">
        <w:rPr>
          <w:rFonts w:cs="Times New Roman"/>
          <w:szCs w:val="24"/>
        </w:rPr>
        <w:t>wholesale treatment capacity service at least three (3) months prior to submission</w:t>
      </w:r>
      <w:r w:rsidR="00BE52E2" w:rsidRPr="009D6961">
        <w:rPr>
          <w:rFonts w:cs="Times New Roman"/>
          <w:szCs w:val="24"/>
        </w:rPr>
        <w:t xml:space="preserve"> </w:t>
      </w:r>
      <w:r w:rsidR="0045762C" w:rsidRPr="009D6961">
        <w:rPr>
          <w:rFonts w:cs="Times New Roman"/>
          <w:szCs w:val="24"/>
        </w:rPr>
        <w:t>of a permit amendment application or other formal action to authorize the proposed</w:t>
      </w:r>
      <w:r w:rsidR="00BE52E2" w:rsidRPr="009D6961">
        <w:rPr>
          <w:rFonts w:cs="Times New Roman"/>
          <w:szCs w:val="24"/>
        </w:rPr>
        <w:t xml:space="preserve"> </w:t>
      </w:r>
      <w:r w:rsidR="0045762C" w:rsidRPr="009D6961">
        <w:rPr>
          <w:rFonts w:cs="Times New Roman"/>
          <w:szCs w:val="24"/>
        </w:rPr>
        <w:t>expansion</w:t>
      </w:r>
      <w:r w:rsidR="001659C6" w:rsidRPr="009D6961">
        <w:rPr>
          <w:rFonts w:cs="Times New Roman"/>
          <w:szCs w:val="24"/>
        </w:rPr>
        <w:t xml:space="preserve">.  </w:t>
      </w:r>
      <w:r w:rsidR="0045762C" w:rsidRPr="009D6961">
        <w:rPr>
          <w:rFonts w:cs="Times New Roman"/>
          <w:szCs w:val="24"/>
        </w:rPr>
        <w:t>Failure to make such a request will result in the associated expansion</w:t>
      </w:r>
      <w:r w:rsidR="00BE52E2" w:rsidRPr="009D6961">
        <w:rPr>
          <w:rFonts w:cs="Times New Roman"/>
          <w:szCs w:val="24"/>
        </w:rPr>
        <w:t xml:space="preserve"> </w:t>
      </w:r>
      <w:r w:rsidR="0045762C" w:rsidRPr="009D6961">
        <w:rPr>
          <w:rFonts w:cs="Times New Roman"/>
          <w:szCs w:val="24"/>
        </w:rPr>
        <w:t>project being deemed imprudent in any subsequent Liberty Tall Timbers or Liberty</w:t>
      </w:r>
      <w:r w:rsidR="00BE52E2" w:rsidRPr="009D6961">
        <w:rPr>
          <w:rFonts w:cs="Times New Roman"/>
          <w:szCs w:val="24"/>
        </w:rPr>
        <w:t xml:space="preserve"> </w:t>
      </w:r>
      <w:r w:rsidR="0045762C" w:rsidRPr="009D6961">
        <w:rPr>
          <w:rFonts w:cs="Times New Roman"/>
          <w:szCs w:val="24"/>
        </w:rPr>
        <w:t>Woodmark rate case as applicable (depending on which entity failed to make the</w:t>
      </w:r>
      <w:r w:rsidR="00BE52E2" w:rsidRPr="009D6961">
        <w:rPr>
          <w:rFonts w:cs="Times New Roman"/>
          <w:szCs w:val="24"/>
        </w:rPr>
        <w:t xml:space="preserve"> </w:t>
      </w:r>
      <w:r w:rsidR="0045762C" w:rsidRPr="009D6961">
        <w:rPr>
          <w:rFonts w:cs="Times New Roman"/>
          <w:szCs w:val="24"/>
        </w:rPr>
        <w:t>request prior to expansion).</w:t>
      </w:r>
    </w:p>
    <w:p w14:paraId="3560AFE3" w14:textId="77777777" w:rsidR="00395A3F" w:rsidRPr="00395A3F" w:rsidRDefault="00395A3F" w:rsidP="00395A3F">
      <w:pPr>
        <w:autoSpaceDE w:val="0"/>
        <w:autoSpaceDN w:val="0"/>
        <w:adjustRightInd w:val="0"/>
        <w:spacing w:line="480" w:lineRule="auto"/>
        <w:rPr>
          <w:rFonts w:cs="Times New Roman"/>
          <w:bCs/>
          <w:szCs w:val="24"/>
        </w:rPr>
      </w:pPr>
      <w:r>
        <w:rPr>
          <w:rFonts w:cs="Times New Roman"/>
          <w:b/>
          <w:i/>
          <w:szCs w:val="24"/>
          <w:u w:val="single"/>
        </w:rPr>
        <w:t>Miscellaneous Tariff Issues</w:t>
      </w:r>
    </w:p>
    <w:p w14:paraId="59486A69" w14:textId="77777777" w:rsidR="0045762C" w:rsidRPr="00567FC8" w:rsidRDefault="0045762C" w:rsidP="00BE52E2">
      <w:pPr>
        <w:pStyle w:val="ListParagraph"/>
        <w:numPr>
          <w:ilvl w:val="0"/>
          <w:numId w:val="2"/>
        </w:numPr>
        <w:autoSpaceDE w:val="0"/>
        <w:autoSpaceDN w:val="0"/>
        <w:adjustRightInd w:val="0"/>
        <w:spacing w:line="480" w:lineRule="auto"/>
        <w:ind w:left="720"/>
        <w:rPr>
          <w:rFonts w:cs="Times New Roman"/>
          <w:bCs/>
          <w:szCs w:val="24"/>
        </w:rPr>
      </w:pPr>
      <w:r w:rsidRPr="009D6961">
        <w:rPr>
          <w:rFonts w:cs="Times New Roman"/>
          <w:szCs w:val="24"/>
        </w:rPr>
        <w:t>Tyler and Liberty Utilities</w:t>
      </w:r>
      <w:r w:rsidR="00BE52E2" w:rsidRPr="009D6961">
        <w:rPr>
          <w:rFonts w:cs="Times New Roman"/>
          <w:szCs w:val="24"/>
        </w:rPr>
        <w:t xml:space="preserve"> </w:t>
      </w:r>
      <w:r w:rsidRPr="009D6961">
        <w:rPr>
          <w:rFonts w:cs="Times New Roman"/>
          <w:szCs w:val="24"/>
        </w:rPr>
        <w:t>disagree over Liberty Tall Timbers tariff provisions regarding developer</w:t>
      </w:r>
      <w:r w:rsidR="00BE52E2" w:rsidRPr="009D6961">
        <w:rPr>
          <w:rFonts w:cs="Times New Roman"/>
          <w:szCs w:val="24"/>
        </w:rPr>
        <w:t xml:space="preserve"> </w:t>
      </w:r>
      <w:r w:rsidRPr="009D6961">
        <w:rPr>
          <w:rFonts w:cs="Times New Roman"/>
          <w:szCs w:val="24"/>
        </w:rPr>
        <w:t>Contributions in Aid of Construction (CIAC) relating to extensions of service to</w:t>
      </w:r>
      <w:r w:rsidR="00BE52E2" w:rsidRPr="009D6961">
        <w:rPr>
          <w:rFonts w:cs="Times New Roman"/>
          <w:szCs w:val="24"/>
        </w:rPr>
        <w:t xml:space="preserve"> </w:t>
      </w:r>
      <w:r w:rsidRPr="009D6961">
        <w:rPr>
          <w:rFonts w:cs="Times New Roman"/>
          <w:szCs w:val="24"/>
        </w:rPr>
        <w:t>new development</w:t>
      </w:r>
      <w:r w:rsidR="00301F0A">
        <w:rPr>
          <w:rFonts w:cs="Times New Roman"/>
          <w:szCs w:val="24"/>
        </w:rPr>
        <w:t>.  There are certain terms included in the Stipulation related to this dispute.</w:t>
      </w:r>
      <w:r w:rsidR="009C51B1">
        <w:rPr>
          <w:rFonts w:cs="Times New Roman"/>
          <w:szCs w:val="24"/>
        </w:rPr>
        <w:t xml:space="preserve">  Liberty Tall Timbers and Tyler conferred about this issue, but, as the Addendum reflects, ultimately decided to defer the issue for resolution outside the context of this dockets.</w:t>
      </w:r>
    </w:p>
    <w:p w14:paraId="4A271AE8" w14:textId="77777777" w:rsidR="00567FC8" w:rsidRPr="009D6961" w:rsidRDefault="00567FC8" w:rsidP="00BE52E2">
      <w:pPr>
        <w:pStyle w:val="ListParagraph"/>
        <w:numPr>
          <w:ilvl w:val="0"/>
          <w:numId w:val="2"/>
        </w:numPr>
        <w:autoSpaceDE w:val="0"/>
        <w:autoSpaceDN w:val="0"/>
        <w:adjustRightInd w:val="0"/>
        <w:spacing w:line="480" w:lineRule="auto"/>
        <w:ind w:left="720"/>
        <w:rPr>
          <w:rFonts w:cs="Times New Roman"/>
          <w:bCs/>
          <w:szCs w:val="24"/>
        </w:rPr>
      </w:pPr>
      <w:r>
        <w:rPr>
          <w:rFonts w:cs="Times New Roman"/>
          <w:bCs/>
          <w:szCs w:val="24"/>
        </w:rPr>
        <w:t>Tyler agreed that tariff language it requested to address the use of the appropriate plumbing code throughout Tyler’s ETJ and plat approval processes w</w:t>
      </w:r>
      <w:r w:rsidR="00F230B3">
        <w:rPr>
          <w:rFonts w:cs="Times New Roman"/>
          <w:bCs/>
          <w:szCs w:val="24"/>
        </w:rPr>
        <w:t>as</w:t>
      </w:r>
      <w:r>
        <w:rPr>
          <w:rFonts w:cs="Times New Roman"/>
          <w:bCs/>
          <w:szCs w:val="24"/>
        </w:rPr>
        <w:t xml:space="preserve"> included in the Stipulation tariffs.  T</w:t>
      </w:r>
      <w:r w:rsidR="00D26882">
        <w:rPr>
          <w:rFonts w:cs="Times New Roman"/>
          <w:bCs/>
          <w:szCs w:val="24"/>
        </w:rPr>
        <w:t>yler agreed to th</w:t>
      </w:r>
      <w:r w:rsidR="00730C7B">
        <w:rPr>
          <w:rFonts w:cs="Times New Roman"/>
          <w:bCs/>
          <w:szCs w:val="24"/>
        </w:rPr>
        <w:t>is</w:t>
      </w:r>
      <w:r w:rsidR="00D26882">
        <w:rPr>
          <w:rFonts w:cs="Times New Roman"/>
          <w:bCs/>
          <w:szCs w:val="24"/>
        </w:rPr>
        <w:t xml:space="preserve"> language as </w:t>
      </w:r>
      <w:r w:rsidR="00862D2B">
        <w:rPr>
          <w:rFonts w:cs="Times New Roman"/>
          <w:bCs/>
          <w:szCs w:val="24"/>
        </w:rPr>
        <w:t>retained in the</w:t>
      </w:r>
      <w:r>
        <w:rPr>
          <w:rFonts w:cs="Times New Roman"/>
          <w:bCs/>
          <w:szCs w:val="24"/>
        </w:rPr>
        <w:t xml:space="preserve"> Addendum tariffs.  </w:t>
      </w:r>
    </w:p>
    <w:p w14:paraId="59400B2C" w14:textId="77777777" w:rsidR="00CA700E" w:rsidRDefault="00CA700E" w:rsidP="0020129A">
      <w:pPr>
        <w:autoSpaceDE w:val="0"/>
        <w:autoSpaceDN w:val="0"/>
        <w:adjustRightInd w:val="0"/>
        <w:rPr>
          <w:rFonts w:cs="Times New Roman"/>
          <w:b/>
          <w:i/>
          <w:szCs w:val="24"/>
          <w:u w:val="single"/>
        </w:rPr>
      </w:pPr>
      <w:r w:rsidRPr="00CA700E">
        <w:rPr>
          <w:rFonts w:cs="Times New Roman"/>
          <w:b/>
          <w:i/>
          <w:szCs w:val="24"/>
          <w:u w:val="single"/>
        </w:rPr>
        <w:t>Consistency of the Stipulation with the Texas Water Code and Commission Requirements</w:t>
      </w:r>
    </w:p>
    <w:p w14:paraId="08F98F79" w14:textId="77777777" w:rsidR="00CA700E" w:rsidRPr="00CA700E" w:rsidRDefault="00CA700E" w:rsidP="0020129A">
      <w:pPr>
        <w:autoSpaceDE w:val="0"/>
        <w:autoSpaceDN w:val="0"/>
        <w:adjustRightInd w:val="0"/>
        <w:rPr>
          <w:rFonts w:cs="Times New Roman"/>
          <w:b/>
          <w:i/>
          <w:szCs w:val="24"/>
          <w:u w:val="single"/>
        </w:rPr>
      </w:pPr>
    </w:p>
    <w:p w14:paraId="6901CB6D" w14:textId="77777777" w:rsidR="0020129A" w:rsidRPr="00B41A7A" w:rsidRDefault="0020129A" w:rsidP="00B41A7A">
      <w:pPr>
        <w:pStyle w:val="ListParagraph"/>
        <w:numPr>
          <w:ilvl w:val="0"/>
          <w:numId w:val="2"/>
        </w:numPr>
        <w:autoSpaceDE w:val="0"/>
        <w:autoSpaceDN w:val="0"/>
        <w:adjustRightInd w:val="0"/>
        <w:spacing w:line="480" w:lineRule="auto"/>
        <w:ind w:left="720"/>
        <w:rPr>
          <w:rFonts w:cs="Times New Roman"/>
          <w:szCs w:val="24"/>
        </w:rPr>
      </w:pPr>
      <w:r w:rsidRPr="0020129A">
        <w:rPr>
          <w:rFonts w:cs="Times New Roman"/>
          <w:szCs w:val="24"/>
        </w:rPr>
        <w:t xml:space="preserve">Considered in light of </w:t>
      </w:r>
      <w:r>
        <w:rPr>
          <w:rFonts w:cs="Times New Roman"/>
          <w:szCs w:val="24"/>
        </w:rPr>
        <w:t>the Liberty Utilities’</w:t>
      </w:r>
      <w:r w:rsidRPr="0020129A">
        <w:rPr>
          <w:rFonts w:cs="Times New Roman"/>
          <w:szCs w:val="24"/>
        </w:rPr>
        <w:t xml:space="preserve"> application, responses to discovery requests, and information exchanged through confidential privileged settlement negotiations, the </w:t>
      </w:r>
      <w:r w:rsidR="0043044E">
        <w:rPr>
          <w:rFonts w:cs="Times New Roman"/>
          <w:szCs w:val="24"/>
        </w:rPr>
        <w:t>Stipulation</w:t>
      </w:r>
      <w:r w:rsidRPr="0020129A">
        <w:rPr>
          <w:rFonts w:cs="Times New Roman"/>
          <w:szCs w:val="24"/>
        </w:rPr>
        <w:t xml:space="preserve"> is the result of compromise from each party, and these efforts, as well as the overall result of the </w:t>
      </w:r>
      <w:r w:rsidR="0043044E">
        <w:rPr>
          <w:rFonts w:cs="Times New Roman"/>
          <w:szCs w:val="24"/>
        </w:rPr>
        <w:t>Stipulation</w:t>
      </w:r>
      <w:r w:rsidR="003C328D">
        <w:rPr>
          <w:rFonts w:cs="Times New Roman"/>
          <w:szCs w:val="24"/>
        </w:rPr>
        <w:t xml:space="preserve"> and Addendum</w:t>
      </w:r>
      <w:r w:rsidRPr="0020129A">
        <w:rPr>
          <w:rFonts w:cs="Times New Roman"/>
          <w:szCs w:val="24"/>
        </w:rPr>
        <w:t>, support the reasonableness and benefits of the terms of</w:t>
      </w:r>
      <w:r>
        <w:rPr>
          <w:rFonts w:cs="Times New Roman"/>
          <w:szCs w:val="24"/>
        </w:rPr>
        <w:t xml:space="preserve"> </w:t>
      </w:r>
      <w:r w:rsidRPr="0020129A">
        <w:rPr>
          <w:rFonts w:cs="Times New Roman"/>
          <w:szCs w:val="24"/>
        </w:rPr>
        <w:t xml:space="preserve">the </w:t>
      </w:r>
      <w:r w:rsidR="0043044E">
        <w:rPr>
          <w:rFonts w:cs="Times New Roman"/>
          <w:szCs w:val="24"/>
        </w:rPr>
        <w:t>Stipulation</w:t>
      </w:r>
      <w:r w:rsidR="003C328D">
        <w:rPr>
          <w:rFonts w:cs="Times New Roman"/>
          <w:szCs w:val="24"/>
        </w:rPr>
        <w:t xml:space="preserve"> and Addendum</w:t>
      </w:r>
      <w:r w:rsidRPr="0020129A">
        <w:rPr>
          <w:rFonts w:cs="Times New Roman"/>
          <w:szCs w:val="24"/>
        </w:rPr>
        <w:t>.</w:t>
      </w:r>
    </w:p>
    <w:p w14:paraId="04E616D4" w14:textId="77777777" w:rsidR="00136AA6" w:rsidRPr="00136AA6" w:rsidRDefault="0020129A" w:rsidP="00136AA6">
      <w:pPr>
        <w:pStyle w:val="ListParagraph"/>
        <w:numPr>
          <w:ilvl w:val="0"/>
          <w:numId w:val="2"/>
        </w:numPr>
        <w:autoSpaceDE w:val="0"/>
        <w:autoSpaceDN w:val="0"/>
        <w:adjustRightInd w:val="0"/>
        <w:spacing w:line="480" w:lineRule="auto"/>
        <w:ind w:left="720"/>
        <w:rPr>
          <w:rFonts w:cs="Times New Roman"/>
          <w:szCs w:val="24"/>
        </w:rPr>
      </w:pPr>
      <w:r w:rsidRPr="00B41A7A">
        <w:rPr>
          <w:rFonts w:cs="Times New Roman"/>
          <w:szCs w:val="24"/>
        </w:rPr>
        <w:t xml:space="preserve">The rates, terms, and conditions of the tariff resulting from the </w:t>
      </w:r>
      <w:r w:rsidR="0043044E">
        <w:rPr>
          <w:rFonts w:cs="Times New Roman"/>
          <w:szCs w:val="24"/>
        </w:rPr>
        <w:t>Stipulation</w:t>
      </w:r>
      <w:r w:rsidR="003C328D">
        <w:rPr>
          <w:rFonts w:cs="Times New Roman"/>
          <w:szCs w:val="24"/>
        </w:rPr>
        <w:t xml:space="preserve"> and Addendum a</w:t>
      </w:r>
      <w:r w:rsidRPr="00B41A7A">
        <w:rPr>
          <w:rFonts w:cs="Times New Roman"/>
          <w:szCs w:val="24"/>
        </w:rPr>
        <w:t>re just and reasonable and consistent with the public interest when the benefits of avoiding an expensive contested case hearing are considered.</w:t>
      </w:r>
    </w:p>
    <w:p w14:paraId="0A066AA8" w14:textId="77777777" w:rsidR="00395A3F" w:rsidRDefault="00136AA6" w:rsidP="00395A3F">
      <w:pPr>
        <w:pStyle w:val="ListParagraph"/>
        <w:numPr>
          <w:ilvl w:val="0"/>
          <w:numId w:val="2"/>
        </w:numPr>
        <w:spacing w:line="480" w:lineRule="auto"/>
        <w:ind w:left="720"/>
      </w:pPr>
      <w:r>
        <w:t>The Signatories believe that a resolution of this docket pursuant to the terms of the Unanimous Stipulation and Settlement Agreement, together with the Addendum, is reasonable and in the public interest, that settlement will conserve resources and mitigate controversy, that the terms and conditions of the Stipulation/Addendum are fair, just and reasonable, and that the Stipulation/Addendum resolve all issues related to the Application</w:t>
      </w:r>
      <w:r w:rsidR="00395A3F">
        <w:t>.</w:t>
      </w:r>
    </w:p>
    <w:p w14:paraId="333665E1" w14:textId="77777777" w:rsidR="00395A3F" w:rsidRPr="00395A3F" w:rsidRDefault="00395A3F" w:rsidP="00395A3F">
      <w:pPr>
        <w:spacing w:line="480" w:lineRule="auto"/>
      </w:pPr>
      <w:r w:rsidRPr="00395A3F">
        <w:rPr>
          <w:rFonts w:cs="Times New Roman"/>
          <w:b/>
          <w:i/>
          <w:szCs w:val="24"/>
          <w:u w:val="single"/>
        </w:rPr>
        <w:t>Informal Disposition</w:t>
      </w:r>
    </w:p>
    <w:p w14:paraId="48EF4114" w14:textId="77777777" w:rsidR="00395A3F" w:rsidRDefault="00395A3F" w:rsidP="00395A3F">
      <w:pPr>
        <w:pStyle w:val="ListParagraph"/>
        <w:numPr>
          <w:ilvl w:val="0"/>
          <w:numId w:val="2"/>
        </w:numPr>
        <w:spacing w:line="480" w:lineRule="auto"/>
        <w:ind w:left="720"/>
      </w:pPr>
      <w:r>
        <w:t>More than 15 days have passed since completion of the notice provided in this docket.</w:t>
      </w:r>
    </w:p>
    <w:p w14:paraId="1DA07C07" w14:textId="77777777" w:rsidR="00395A3F" w:rsidRDefault="00395A3F" w:rsidP="00395A3F">
      <w:pPr>
        <w:pStyle w:val="ListParagraph"/>
        <w:numPr>
          <w:ilvl w:val="0"/>
          <w:numId w:val="2"/>
        </w:numPr>
        <w:spacing w:line="480" w:lineRule="auto"/>
        <w:ind w:left="720"/>
      </w:pPr>
      <w:r>
        <w:t>Th</w:t>
      </w:r>
      <w:r w:rsidR="00C90ED6">
        <w:t>e</w:t>
      </w:r>
      <w:r w:rsidR="008724E0">
        <w:t xml:space="preserve"> d</w:t>
      </w:r>
      <w:r>
        <w:t>ecision is not adverse to any party in this proceeding.</w:t>
      </w:r>
    </w:p>
    <w:p w14:paraId="30C2D144" w14:textId="77777777" w:rsidR="00395A3F" w:rsidRDefault="00395A3F" w:rsidP="00BF1FB0">
      <w:pPr>
        <w:pStyle w:val="ListParagraph"/>
        <w:numPr>
          <w:ilvl w:val="0"/>
          <w:numId w:val="2"/>
        </w:numPr>
        <w:spacing w:line="480" w:lineRule="auto"/>
        <w:ind w:left="720"/>
      </w:pPr>
      <w:r>
        <w:t>The Commission finds that no hearing is necessary.</w:t>
      </w:r>
    </w:p>
    <w:p w14:paraId="3CE2E470" w14:textId="77777777" w:rsidR="0020129A" w:rsidRPr="0020129A" w:rsidRDefault="0020129A" w:rsidP="008171FB">
      <w:pPr>
        <w:keepNext/>
        <w:keepLines/>
        <w:autoSpaceDE w:val="0"/>
        <w:autoSpaceDN w:val="0"/>
        <w:adjustRightInd w:val="0"/>
        <w:spacing w:line="480" w:lineRule="auto"/>
        <w:jc w:val="center"/>
        <w:rPr>
          <w:rFonts w:cs="Times New Roman"/>
          <w:b/>
          <w:szCs w:val="24"/>
        </w:rPr>
      </w:pPr>
      <w:r w:rsidRPr="0020129A">
        <w:rPr>
          <w:rFonts w:cs="Times New Roman"/>
          <w:b/>
          <w:szCs w:val="24"/>
        </w:rPr>
        <w:t>II</w:t>
      </w:r>
      <w:r w:rsidR="008724E0">
        <w:rPr>
          <w:rFonts w:cs="Times New Roman"/>
          <w:b/>
          <w:szCs w:val="24"/>
        </w:rPr>
        <w:t>I</w:t>
      </w:r>
      <w:r w:rsidRPr="0020129A">
        <w:rPr>
          <w:rFonts w:cs="Times New Roman"/>
          <w:b/>
          <w:szCs w:val="24"/>
        </w:rPr>
        <w:t xml:space="preserve">. </w:t>
      </w:r>
      <w:r w:rsidR="005D3E42">
        <w:rPr>
          <w:rFonts w:cs="Times New Roman"/>
          <w:b/>
          <w:szCs w:val="24"/>
        </w:rPr>
        <w:t xml:space="preserve"> </w:t>
      </w:r>
      <w:r w:rsidRPr="0020129A">
        <w:rPr>
          <w:rFonts w:cs="Times New Roman"/>
          <w:b/>
          <w:szCs w:val="24"/>
        </w:rPr>
        <w:t>Conclusions of Law</w:t>
      </w:r>
    </w:p>
    <w:p w14:paraId="67626225" w14:textId="77777777" w:rsidR="004239EC" w:rsidRDefault="00B41A7A" w:rsidP="008171FB">
      <w:pPr>
        <w:pStyle w:val="ListParagraph"/>
        <w:keepNext/>
        <w:keepLines/>
        <w:numPr>
          <w:ilvl w:val="0"/>
          <w:numId w:val="5"/>
        </w:numPr>
        <w:autoSpaceDE w:val="0"/>
        <w:autoSpaceDN w:val="0"/>
        <w:adjustRightInd w:val="0"/>
        <w:spacing w:line="480" w:lineRule="auto"/>
        <w:ind w:hanging="720"/>
        <w:rPr>
          <w:rFonts w:cs="Times New Roman"/>
          <w:szCs w:val="24"/>
        </w:rPr>
      </w:pPr>
      <w:r>
        <w:rPr>
          <w:rFonts w:cs="Times New Roman"/>
          <w:szCs w:val="24"/>
        </w:rPr>
        <w:t>Liberty Tall Timbers and Liberty Woodmark are</w:t>
      </w:r>
      <w:r w:rsidR="0020129A" w:rsidRPr="0020129A">
        <w:rPr>
          <w:rFonts w:cs="Times New Roman"/>
          <w:szCs w:val="24"/>
        </w:rPr>
        <w:t xml:space="preserve"> </w:t>
      </w:r>
      <w:r w:rsidR="004239EC">
        <w:rPr>
          <w:rFonts w:cs="Times New Roman"/>
          <w:szCs w:val="24"/>
        </w:rPr>
        <w:t>“utilities,” “</w:t>
      </w:r>
      <w:r w:rsidR="0020129A" w:rsidRPr="0020129A">
        <w:rPr>
          <w:rFonts w:cs="Times New Roman"/>
          <w:szCs w:val="24"/>
        </w:rPr>
        <w:t>public utili</w:t>
      </w:r>
      <w:r>
        <w:rPr>
          <w:rFonts w:cs="Times New Roman"/>
          <w:szCs w:val="24"/>
        </w:rPr>
        <w:t>ties</w:t>
      </w:r>
      <w:r w:rsidR="004239EC">
        <w:rPr>
          <w:rFonts w:cs="Times New Roman"/>
          <w:szCs w:val="24"/>
        </w:rPr>
        <w:t>”, and “sewer utilities”</w:t>
      </w:r>
      <w:r w:rsidR="0020129A" w:rsidRPr="0020129A">
        <w:rPr>
          <w:rFonts w:cs="Times New Roman"/>
          <w:szCs w:val="24"/>
        </w:rPr>
        <w:t xml:space="preserve"> as defined in </w:t>
      </w:r>
      <w:r w:rsidR="00530994">
        <w:rPr>
          <w:rFonts w:cs="Times New Roman"/>
          <w:smallCaps/>
          <w:szCs w:val="24"/>
        </w:rPr>
        <w:t>TWC</w:t>
      </w:r>
      <w:r>
        <w:rPr>
          <w:rFonts w:cs="Times New Roman"/>
          <w:szCs w:val="24"/>
        </w:rPr>
        <w:t xml:space="preserve"> </w:t>
      </w:r>
      <w:r w:rsidR="0020129A" w:rsidRPr="0020129A">
        <w:rPr>
          <w:rFonts w:cs="Times New Roman"/>
          <w:szCs w:val="24"/>
        </w:rPr>
        <w:t>§ 13.002(23)</w:t>
      </w:r>
      <w:r w:rsidR="007A3853">
        <w:rPr>
          <w:rFonts w:cs="Times New Roman"/>
          <w:szCs w:val="24"/>
        </w:rPr>
        <w:t xml:space="preserve"> and 16 TAC § 24</w:t>
      </w:r>
      <w:r w:rsidR="0020129A" w:rsidRPr="0020129A">
        <w:rPr>
          <w:rFonts w:cs="Times New Roman"/>
          <w:szCs w:val="24"/>
        </w:rPr>
        <w:t>.</w:t>
      </w:r>
      <w:r w:rsidR="004239EC">
        <w:rPr>
          <w:rFonts w:cs="Times New Roman"/>
          <w:szCs w:val="24"/>
        </w:rPr>
        <w:t>3(51), (75), and (76).</w:t>
      </w:r>
    </w:p>
    <w:p w14:paraId="445C0DE4" w14:textId="77777777" w:rsidR="004375C5" w:rsidRDefault="004239EC" w:rsidP="0020129A">
      <w:pPr>
        <w:pStyle w:val="ListParagraph"/>
        <w:numPr>
          <w:ilvl w:val="0"/>
          <w:numId w:val="5"/>
        </w:numPr>
        <w:autoSpaceDE w:val="0"/>
        <w:autoSpaceDN w:val="0"/>
        <w:adjustRightInd w:val="0"/>
        <w:spacing w:line="480" w:lineRule="auto"/>
        <w:ind w:hanging="720"/>
        <w:rPr>
          <w:rFonts w:cs="Times New Roman"/>
          <w:szCs w:val="24"/>
        </w:rPr>
      </w:pPr>
      <w:r>
        <w:rPr>
          <w:rFonts w:cs="Times New Roman"/>
          <w:szCs w:val="24"/>
        </w:rPr>
        <w:t>Liberty Tall Timbers and Liberty Woodmark are “retail public utilities” as defined in TWC § 13.002(19) and 16 TAC §24.3(59).</w:t>
      </w:r>
    </w:p>
    <w:p w14:paraId="1A8DC59D" w14:textId="77777777" w:rsidR="004375C5" w:rsidRDefault="0020129A" w:rsidP="0020129A">
      <w:pPr>
        <w:pStyle w:val="ListParagraph"/>
        <w:numPr>
          <w:ilvl w:val="0"/>
          <w:numId w:val="5"/>
        </w:numPr>
        <w:autoSpaceDE w:val="0"/>
        <w:autoSpaceDN w:val="0"/>
        <w:adjustRightInd w:val="0"/>
        <w:spacing w:line="480" w:lineRule="auto"/>
        <w:ind w:hanging="720"/>
        <w:rPr>
          <w:rFonts w:cs="Times New Roman"/>
          <w:szCs w:val="24"/>
        </w:rPr>
      </w:pPr>
      <w:r w:rsidRPr="004375C5">
        <w:rPr>
          <w:rFonts w:cs="Times New Roman"/>
          <w:szCs w:val="24"/>
        </w:rPr>
        <w:t xml:space="preserve">The Commission has jurisdiction to consider </w:t>
      </w:r>
      <w:r w:rsidR="0079376F">
        <w:rPr>
          <w:rFonts w:cs="Times New Roman"/>
          <w:szCs w:val="24"/>
        </w:rPr>
        <w:t xml:space="preserve">the application of </w:t>
      </w:r>
      <w:r w:rsidR="00B41A7A">
        <w:rPr>
          <w:rFonts w:cs="Times New Roman"/>
          <w:szCs w:val="24"/>
        </w:rPr>
        <w:t>Liberty Tall Timbers and Liberty Woodmark</w:t>
      </w:r>
      <w:r w:rsidR="0079376F">
        <w:rPr>
          <w:rFonts w:cs="Times New Roman"/>
          <w:szCs w:val="24"/>
        </w:rPr>
        <w:t xml:space="preserve"> </w:t>
      </w:r>
      <w:r w:rsidRPr="004375C5">
        <w:rPr>
          <w:rFonts w:cs="Times New Roman"/>
          <w:szCs w:val="24"/>
        </w:rPr>
        <w:t>for a rate increase</w:t>
      </w:r>
      <w:r w:rsidR="004375C5" w:rsidRPr="004375C5">
        <w:rPr>
          <w:rFonts w:cs="Times New Roman"/>
          <w:szCs w:val="24"/>
        </w:rPr>
        <w:t xml:space="preserve"> </w:t>
      </w:r>
      <w:r w:rsidRPr="004375C5">
        <w:rPr>
          <w:rFonts w:cs="Times New Roman"/>
          <w:szCs w:val="24"/>
        </w:rPr>
        <w:t xml:space="preserve">and </w:t>
      </w:r>
      <w:r w:rsidR="0079376F">
        <w:rPr>
          <w:rFonts w:cs="Times New Roman"/>
          <w:szCs w:val="24"/>
        </w:rPr>
        <w:t xml:space="preserve">to </w:t>
      </w:r>
      <w:r w:rsidRPr="004375C5">
        <w:rPr>
          <w:rFonts w:cs="Times New Roman"/>
          <w:szCs w:val="24"/>
        </w:rPr>
        <w:t xml:space="preserve">conduct both formal and informal ratemaking hearings </w:t>
      </w:r>
      <w:r w:rsidR="00B41A7A">
        <w:rPr>
          <w:rFonts w:cs="Times New Roman"/>
          <w:szCs w:val="24"/>
        </w:rPr>
        <w:t xml:space="preserve">for areas outside of Tyler </w:t>
      </w:r>
      <w:r w:rsidRPr="004375C5">
        <w:rPr>
          <w:rFonts w:cs="Times New Roman"/>
          <w:szCs w:val="24"/>
        </w:rPr>
        <w:t xml:space="preserve">pursuant to </w:t>
      </w:r>
      <w:r w:rsidR="004375C5" w:rsidRPr="00E0016F">
        <w:rPr>
          <w:rFonts w:cs="Times New Roman"/>
          <w:smallCaps/>
          <w:szCs w:val="24"/>
        </w:rPr>
        <w:t>T</w:t>
      </w:r>
      <w:r w:rsidR="00530994">
        <w:rPr>
          <w:rFonts w:cs="Times New Roman"/>
          <w:smallCaps/>
          <w:szCs w:val="24"/>
        </w:rPr>
        <w:t>WC</w:t>
      </w:r>
      <w:r w:rsidR="004375C5" w:rsidRPr="00E0016F">
        <w:rPr>
          <w:rFonts w:cs="Times New Roman"/>
          <w:smallCaps/>
          <w:szCs w:val="24"/>
        </w:rPr>
        <w:t xml:space="preserve"> </w:t>
      </w:r>
      <w:r w:rsidR="004375C5" w:rsidRPr="004375C5">
        <w:rPr>
          <w:rFonts w:cs="Times New Roman"/>
          <w:szCs w:val="24"/>
        </w:rPr>
        <w:t>§</w:t>
      </w:r>
      <w:r w:rsidRPr="004375C5">
        <w:rPr>
          <w:rFonts w:cs="Times New Roman"/>
          <w:szCs w:val="24"/>
        </w:rPr>
        <w:t>§ 13.041, 13.181, and 13.187</w:t>
      </w:r>
      <w:r w:rsidR="00B41A7A">
        <w:rPr>
          <w:rFonts w:cs="Times New Roman"/>
          <w:szCs w:val="24"/>
        </w:rPr>
        <w:t>1</w:t>
      </w:r>
      <w:r w:rsidRPr="004375C5">
        <w:rPr>
          <w:rFonts w:cs="Times New Roman"/>
          <w:szCs w:val="24"/>
        </w:rPr>
        <w:t xml:space="preserve"> using procedures set forth in </w:t>
      </w:r>
      <w:r w:rsidR="00530994">
        <w:rPr>
          <w:rFonts w:cs="Times New Roman"/>
          <w:szCs w:val="24"/>
        </w:rPr>
        <w:t>16 TAC,</w:t>
      </w:r>
      <w:r w:rsidRPr="004375C5">
        <w:rPr>
          <w:rFonts w:cs="Times New Roman"/>
          <w:szCs w:val="24"/>
        </w:rPr>
        <w:t xml:space="preserve"> Chapter 24.</w:t>
      </w:r>
      <w:r w:rsidR="00B41A7A">
        <w:rPr>
          <w:rFonts w:cs="Times New Roman"/>
          <w:szCs w:val="24"/>
        </w:rPr>
        <w:t xml:space="preserve">  Tyler had jurisdiction to consider </w:t>
      </w:r>
      <w:r w:rsidR="00D14DFA">
        <w:rPr>
          <w:rFonts w:cs="Times New Roman"/>
          <w:szCs w:val="24"/>
        </w:rPr>
        <w:t>Liberty Tall Timbers</w:t>
      </w:r>
      <w:r w:rsidR="00B41A7A">
        <w:rPr>
          <w:rFonts w:cs="Times New Roman"/>
          <w:szCs w:val="24"/>
        </w:rPr>
        <w:t>’ application for the portion of its area that is inside Tyler pursuan</w:t>
      </w:r>
      <w:r w:rsidR="002D0D1C">
        <w:rPr>
          <w:rFonts w:cs="Times New Roman"/>
          <w:szCs w:val="24"/>
        </w:rPr>
        <w:t xml:space="preserve">t to </w:t>
      </w:r>
      <w:r w:rsidR="00530994">
        <w:rPr>
          <w:rFonts w:cs="Times New Roman"/>
          <w:smallCaps/>
          <w:szCs w:val="24"/>
        </w:rPr>
        <w:t>TWC</w:t>
      </w:r>
      <w:r w:rsidR="002D0D1C">
        <w:rPr>
          <w:rFonts w:cs="Times New Roman"/>
          <w:szCs w:val="24"/>
        </w:rPr>
        <w:t xml:space="preserve"> §</w:t>
      </w:r>
      <w:r w:rsidR="004511AB">
        <w:rPr>
          <w:rFonts w:cs="Times New Roman"/>
          <w:szCs w:val="24"/>
        </w:rPr>
        <w:t> </w:t>
      </w:r>
      <w:r w:rsidR="002D0D1C">
        <w:rPr>
          <w:rFonts w:cs="Times New Roman"/>
          <w:szCs w:val="24"/>
        </w:rPr>
        <w:t xml:space="preserve">13.083.  The Commission had jurisdiction to consider the appeal from Tyler’s decision under </w:t>
      </w:r>
      <w:r w:rsidR="00530994">
        <w:rPr>
          <w:rFonts w:cs="Times New Roman"/>
          <w:smallCaps/>
          <w:szCs w:val="24"/>
        </w:rPr>
        <w:t>TWC</w:t>
      </w:r>
      <w:r w:rsidR="00E0016F">
        <w:rPr>
          <w:rFonts w:cs="Times New Roman"/>
          <w:szCs w:val="24"/>
        </w:rPr>
        <w:t xml:space="preserve"> </w:t>
      </w:r>
      <w:r w:rsidR="008A4995">
        <w:rPr>
          <w:rFonts w:cs="Times New Roman"/>
          <w:szCs w:val="24"/>
        </w:rPr>
        <w:t xml:space="preserve">§ 13.043 and </w:t>
      </w:r>
      <w:r w:rsidR="00E00A06">
        <w:rPr>
          <w:rFonts w:cs="Times New Roman"/>
          <w:szCs w:val="24"/>
        </w:rPr>
        <w:t xml:space="preserve">former </w:t>
      </w:r>
      <w:r w:rsidR="00530994">
        <w:rPr>
          <w:rFonts w:cs="Times New Roman"/>
          <w:szCs w:val="24"/>
        </w:rPr>
        <w:t>16 TAC</w:t>
      </w:r>
      <w:r w:rsidR="002D0D1C">
        <w:rPr>
          <w:rFonts w:cs="Times New Roman"/>
          <w:szCs w:val="24"/>
        </w:rPr>
        <w:t xml:space="preserve"> §</w:t>
      </w:r>
      <w:r w:rsidR="008A4995">
        <w:rPr>
          <w:rFonts w:cs="Times New Roman"/>
          <w:szCs w:val="24"/>
        </w:rPr>
        <w:t> </w:t>
      </w:r>
      <w:r w:rsidR="002D0D1C">
        <w:rPr>
          <w:rFonts w:cs="Times New Roman"/>
          <w:szCs w:val="24"/>
        </w:rPr>
        <w:t>24.41</w:t>
      </w:r>
      <w:r w:rsidR="00E00A06">
        <w:rPr>
          <w:rFonts w:cs="Times New Roman"/>
          <w:szCs w:val="24"/>
        </w:rPr>
        <w:t xml:space="preserve"> (now § 24.101)</w:t>
      </w:r>
      <w:r w:rsidR="002D0D1C">
        <w:rPr>
          <w:rFonts w:cs="Times New Roman"/>
          <w:szCs w:val="24"/>
        </w:rPr>
        <w:t>.</w:t>
      </w:r>
    </w:p>
    <w:p w14:paraId="4BE2CD16" w14:textId="77777777" w:rsidR="004375C5" w:rsidRDefault="0020129A" w:rsidP="0020129A">
      <w:pPr>
        <w:pStyle w:val="ListParagraph"/>
        <w:numPr>
          <w:ilvl w:val="0"/>
          <w:numId w:val="5"/>
        </w:numPr>
        <w:autoSpaceDE w:val="0"/>
        <w:autoSpaceDN w:val="0"/>
        <w:adjustRightInd w:val="0"/>
        <w:spacing w:line="480" w:lineRule="auto"/>
        <w:ind w:hanging="720"/>
        <w:rPr>
          <w:rFonts w:cs="Times New Roman"/>
          <w:szCs w:val="24"/>
        </w:rPr>
      </w:pPr>
      <w:r w:rsidRPr="004375C5">
        <w:rPr>
          <w:rFonts w:cs="Times New Roman"/>
          <w:szCs w:val="24"/>
        </w:rPr>
        <w:t>This docket was processed in accordance with the requirements of the Texas Water Code</w:t>
      </w:r>
      <w:r w:rsidR="00AC3A13">
        <w:rPr>
          <w:rFonts w:cs="Times New Roman"/>
          <w:szCs w:val="24"/>
        </w:rPr>
        <w:t xml:space="preserve">, </w:t>
      </w:r>
      <w:r w:rsidRPr="004375C5">
        <w:rPr>
          <w:rFonts w:cs="Times New Roman"/>
          <w:szCs w:val="24"/>
        </w:rPr>
        <w:t>the Texas Administrative Procedure Act, and Commission rules.</w:t>
      </w:r>
    </w:p>
    <w:p w14:paraId="56E28F8B" w14:textId="77777777" w:rsidR="004375C5" w:rsidRDefault="0020129A" w:rsidP="0020129A">
      <w:pPr>
        <w:pStyle w:val="ListParagraph"/>
        <w:numPr>
          <w:ilvl w:val="0"/>
          <w:numId w:val="5"/>
        </w:numPr>
        <w:autoSpaceDE w:val="0"/>
        <w:autoSpaceDN w:val="0"/>
        <w:adjustRightInd w:val="0"/>
        <w:spacing w:line="480" w:lineRule="auto"/>
        <w:ind w:hanging="720"/>
        <w:rPr>
          <w:rFonts w:cs="Times New Roman"/>
          <w:szCs w:val="24"/>
        </w:rPr>
      </w:pPr>
      <w:r w:rsidRPr="004375C5">
        <w:rPr>
          <w:rFonts w:cs="Times New Roman"/>
          <w:szCs w:val="24"/>
        </w:rPr>
        <w:t xml:space="preserve">Proper notice of the application was given by </w:t>
      </w:r>
      <w:r w:rsidR="00B41A7A">
        <w:rPr>
          <w:rFonts w:cs="Times New Roman"/>
          <w:szCs w:val="24"/>
        </w:rPr>
        <w:t xml:space="preserve">Liberty Tall Timbers and Liberty Woodmark </w:t>
      </w:r>
      <w:r w:rsidRPr="004375C5">
        <w:rPr>
          <w:rFonts w:cs="Times New Roman"/>
          <w:szCs w:val="24"/>
        </w:rPr>
        <w:t xml:space="preserve">as required by </w:t>
      </w:r>
      <w:r w:rsidR="00E0016F" w:rsidRPr="00E0016F">
        <w:rPr>
          <w:rFonts w:cs="Times New Roman"/>
          <w:smallCaps/>
          <w:szCs w:val="24"/>
        </w:rPr>
        <w:t>T</w:t>
      </w:r>
      <w:r w:rsidR="00530994">
        <w:rPr>
          <w:rFonts w:cs="Times New Roman"/>
          <w:smallCaps/>
          <w:szCs w:val="24"/>
        </w:rPr>
        <w:t>WC</w:t>
      </w:r>
      <w:r w:rsidR="00E0016F">
        <w:rPr>
          <w:rFonts w:cs="Times New Roman"/>
          <w:szCs w:val="24"/>
        </w:rPr>
        <w:t xml:space="preserve"> </w:t>
      </w:r>
      <w:r w:rsidRPr="004375C5">
        <w:rPr>
          <w:rFonts w:cs="Times New Roman"/>
          <w:szCs w:val="24"/>
        </w:rPr>
        <w:t>§</w:t>
      </w:r>
      <w:r w:rsidR="0079376F">
        <w:rPr>
          <w:rFonts w:cs="Times New Roman"/>
          <w:szCs w:val="24"/>
        </w:rPr>
        <w:t>§ 13.083,</w:t>
      </w:r>
      <w:r w:rsidRPr="004375C5">
        <w:rPr>
          <w:rFonts w:cs="Times New Roman"/>
          <w:szCs w:val="24"/>
        </w:rPr>
        <w:t xml:space="preserve"> 13.187</w:t>
      </w:r>
      <w:r w:rsidR="00B41A7A">
        <w:rPr>
          <w:rFonts w:cs="Times New Roman"/>
          <w:szCs w:val="24"/>
        </w:rPr>
        <w:t>1</w:t>
      </w:r>
      <w:r w:rsidRPr="004375C5">
        <w:rPr>
          <w:rFonts w:cs="Times New Roman"/>
          <w:szCs w:val="24"/>
        </w:rPr>
        <w:t xml:space="preserve">; </w:t>
      </w:r>
      <w:r w:rsidR="007A72AB">
        <w:rPr>
          <w:rFonts w:cs="Times New Roman"/>
          <w:szCs w:val="24"/>
        </w:rPr>
        <w:t>former 1</w:t>
      </w:r>
      <w:r w:rsidR="00E00A06">
        <w:rPr>
          <w:rFonts w:cs="Times New Roman"/>
          <w:szCs w:val="24"/>
        </w:rPr>
        <w:t>6</w:t>
      </w:r>
      <w:r w:rsidRPr="004375C5">
        <w:rPr>
          <w:rFonts w:cs="Times New Roman"/>
          <w:szCs w:val="24"/>
        </w:rPr>
        <w:t xml:space="preserve"> </w:t>
      </w:r>
      <w:r w:rsidR="00530994">
        <w:rPr>
          <w:rFonts w:cs="Times New Roman"/>
          <w:szCs w:val="24"/>
        </w:rPr>
        <w:t xml:space="preserve">TAC </w:t>
      </w:r>
      <w:r w:rsidRPr="004375C5">
        <w:rPr>
          <w:rFonts w:cs="Times New Roman"/>
          <w:szCs w:val="24"/>
        </w:rPr>
        <w:t>§§</w:t>
      </w:r>
      <w:r w:rsidR="002D0D1C">
        <w:rPr>
          <w:rFonts w:cs="Times New Roman"/>
          <w:szCs w:val="24"/>
        </w:rPr>
        <w:t> </w:t>
      </w:r>
      <w:r w:rsidRPr="004375C5">
        <w:rPr>
          <w:rFonts w:cs="Times New Roman"/>
          <w:szCs w:val="24"/>
        </w:rPr>
        <w:t>2</w:t>
      </w:r>
      <w:r w:rsidR="00E00A06">
        <w:rPr>
          <w:rFonts w:cs="Times New Roman"/>
          <w:szCs w:val="24"/>
        </w:rPr>
        <w:t>4</w:t>
      </w:r>
      <w:r w:rsidRPr="004375C5">
        <w:rPr>
          <w:rFonts w:cs="Times New Roman"/>
          <w:szCs w:val="24"/>
        </w:rPr>
        <w:t>.22</w:t>
      </w:r>
      <w:r w:rsidR="007A72AB">
        <w:rPr>
          <w:rFonts w:cs="Times New Roman"/>
          <w:szCs w:val="24"/>
        </w:rPr>
        <w:t xml:space="preserve"> (now §24.27)</w:t>
      </w:r>
      <w:r w:rsidRPr="004375C5">
        <w:rPr>
          <w:rFonts w:cs="Times New Roman"/>
          <w:szCs w:val="24"/>
        </w:rPr>
        <w:t xml:space="preserve"> and </w:t>
      </w:r>
      <w:r w:rsidR="007A72AB">
        <w:rPr>
          <w:rFonts w:cs="Times New Roman"/>
          <w:szCs w:val="24"/>
        </w:rPr>
        <w:t xml:space="preserve">former </w:t>
      </w:r>
      <w:r w:rsidRPr="004375C5">
        <w:rPr>
          <w:rFonts w:cs="Times New Roman"/>
          <w:szCs w:val="24"/>
        </w:rPr>
        <w:t>2</w:t>
      </w:r>
      <w:r w:rsidR="00E00A06">
        <w:rPr>
          <w:rFonts w:cs="Times New Roman"/>
          <w:szCs w:val="24"/>
        </w:rPr>
        <w:t>4</w:t>
      </w:r>
      <w:r w:rsidRPr="004375C5">
        <w:rPr>
          <w:rFonts w:cs="Times New Roman"/>
          <w:szCs w:val="24"/>
        </w:rPr>
        <w:t>.28</w:t>
      </w:r>
      <w:r w:rsidR="007A72AB">
        <w:rPr>
          <w:rFonts w:cs="Times New Roman"/>
          <w:szCs w:val="24"/>
        </w:rPr>
        <w:t xml:space="preserve"> (now § 24.35)</w:t>
      </w:r>
      <w:r w:rsidRPr="004375C5">
        <w:rPr>
          <w:rFonts w:cs="Times New Roman"/>
          <w:szCs w:val="24"/>
        </w:rPr>
        <w:t>; and</w:t>
      </w:r>
      <w:r w:rsidR="00530994">
        <w:rPr>
          <w:rFonts w:cs="Times New Roman"/>
          <w:szCs w:val="24"/>
        </w:rPr>
        <w:t xml:space="preserve"> Texas Government Code </w:t>
      </w:r>
      <w:r w:rsidRPr="004375C5">
        <w:rPr>
          <w:rFonts w:cs="Times New Roman"/>
          <w:szCs w:val="24"/>
        </w:rPr>
        <w:t>§§ 2001.051 and 2001.052</w:t>
      </w:r>
      <w:r w:rsidR="002E16F4">
        <w:rPr>
          <w:rFonts w:cs="Times New Roman"/>
          <w:szCs w:val="24"/>
        </w:rPr>
        <w:t>.</w:t>
      </w:r>
    </w:p>
    <w:p w14:paraId="4CA9BD6F" w14:textId="77777777" w:rsidR="001805BD" w:rsidRDefault="001805BD" w:rsidP="0020129A">
      <w:pPr>
        <w:pStyle w:val="ListParagraph"/>
        <w:numPr>
          <w:ilvl w:val="0"/>
          <w:numId w:val="5"/>
        </w:numPr>
        <w:autoSpaceDE w:val="0"/>
        <w:autoSpaceDN w:val="0"/>
        <w:adjustRightInd w:val="0"/>
        <w:spacing w:line="480" w:lineRule="auto"/>
        <w:ind w:hanging="720"/>
        <w:rPr>
          <w:rFonts w:cs="Times New Roman"/>
          <w:szCs w:val="24"/>
        </w:rPr>
      </w:pPr>
      <w:r>
        <w:rPr>
          <w:rFonts w:cs="Times New Roman"/>
          <w:szCs w:val="24"/>
        </w:rPr>
        <w:t>Prope</w:t>
      </w:r>
      <w:r w:rsidR="00D7032A">
        <w:rPr>
          <w:rFonts w:cs="Times New Roman"/>
          <w:szCs w:val="24"/>
        </w:rPr>
        <w:t>r n</w:t>
      </w:r>
      <w:r>
        <w:rPr>
          <w:rFonts w:cs="Times New Roman"/>
          <w:szCs w:val="24"/>
        </w:rPr>
        <w:t>otice of the three-phase interim rates now approved as final</w:t>
      </w:r>
      <w:r w:rsidR="00C54B27">
        <w:rPr>
          <w:rFonts w:cs="Times New Roman"/>
          <w:szCs w:val="24"/>
        </w:rPr>
        <w:t>, including FTCCR rate provisions,</w:t>
      </w:r>
      <w:r>
        <w:rPr>
          <w:rFonts w:cs="Times New Roman"/>
          <w:szCs w:val="24"/>
        </w:rPr>
        <w:t xml:space="preserve"> w</w:t>
      </w:r>
      <w:r w:rsidR="00D7032A">
        <w:rPr>
          <w:rFonts w:cs="Times New Roman"/>
          <w:szCs w:val="24"/>
        </w:rPr>
        <w:t>as</w:t>
      </w:r>
      <w:r>
        <w:rPr>
          <w:rFonts w:cs="Times New Roman"/>
          <w:szCs w:val="24"/>
        </w:rPr>
        <w:t xml:space="preserve"> provided in accordance with former 16 TAC </w:t>
      </w:r>
      <w:r w:rsidRPr="004375C5">
        <w:rPr>
          <w:rFonts w:cs="Times New Roman"/>
          <w:szCs w:val="24"/>
        </w:rPr>
        <w:t>§§</w:t>
      </w:r>
      <w:r>
        <w:rPr>
          <w:rFonts w:cs="Times New Roman"/>
          <w:szCs w:val="24"/>
        </w:rPr>
        <w:t> </w:t>
      </w:r>
      <w:r w:rsidRPr="004375C5">
        <w:rPr>
          <w:rFonts w:cs="Times New Roman"/>
          <w:szCs w:val="24"/>
        </w:rPr>
        <w:t>2</w:t>
      </w:r>
      <w:r>
        <w:rPr>
          <w:rFonts w:cs="Times New Roman"/>
          <w:szCs w:val="24"/>
        </w:rPr>
        <w:t>4</w:t>
      </w:r>
      <w:r w:rsidRPr="004375C5">
        <w:rPr>
          <w:rFonts w:cs="Times New Roman"/>
          <w:szCs w:val="24"/>
        </w:rPr>
        <w:t>.</w:t>
      </w:r>
      <w:r>
        <w:rPr>
          <w:rFonts w:cs="Times New Roman"/>
          <w:szCs w:val="24"/>
        </w:rPr>
        <w:t xml:space="preserve">29 (now </w:t>
      </w:r>
      <w:r w:rsidRPr="004375C5">
        <w:rPr>
          <w:rFonts w:cs="Times New Roman"/>
          <w:szCs w:val="24"/>
        </w:rPr>
        <w:t>§</w:t>
      </w:r>
      <w:r>
        <w:rPr>
          <w:rFonts w:cs="Times New Roman"/>
          <w:szCs w:val="24"/>
        </w:rPr>
        <w:t xml:space="preserve">24.37) and </w:t>
      </w:r>
      <w:r w:rsidRPr="004375C5">
        <w:rPr>
          <w:rFonts w:cs="Times New Roman"/>
          <w:szCs w:val="24"/>
        </w:rPr>
        <w:t>2</w:t>
      </w:r>
      <w:r>
        <w:rPr>
          <w:rFonts w:cs="Times New Roman"/>
          <w:szCs w:val="24"/>
        </w:rPr>
        <w:t>4</w:t>
      </w:r>
      <w:r w:rsidRPr="004375C5">
        <w:rPr>
          <w:rFonts w:cs="Times New Roman"/>
          <w:szCs w:val="24"/>
        </w:rPr>
        <w:t>.</w:t>
      </w:r>
      <w:r>
        <w:rPr>
          <w:rFonts w:cs="Times New Roman"/>
          <w:szCs w:val="24"/>
        </w:rPr>
        <w:t>34 (now § 24.75).</w:t>
      </w:r>
    </w:p>
    <w:p w14:paraId="26D5216B" w14:textId="77777777" w:rsidR="004375C5" w:rsidRDefault="0020129A" w:rsidP="0020129A">
      <w:pPr>
        <w:pStyle w:val="ListParagraph"/>
        <w:numPr>
          <w:ilvl w:val="0"/>
          <w:numId w:val="5"/>
        </w:numPr>
        <w:autoSpaceDE w:val="0"/>
        <w:autoSpaceDN w:val="0"/>
        <w:adjustRightInd w:val="0"/>
        <w:spacing w:line="480" w:lineRule="auto"/>
        <w:ind w:hanging="720"/>
        <w:rPr>
          <w:rFonts w:cs="Times New Roman"/>
          <w:szCs w:val="24"/>
        </w:rPr>
      </w:pPr>
      <w:r w:rsidRPr="004375C5">
        <w:rPr>
          <w:rFonts w:cs="Times New Roman"/>
          <w:szCs w:val="24"/>
        </w:rPr>
        <w:t>This docket contains no remaining contested issues of fact or law.</w:t>
      </w:r>
    </w:p>
    <w:p w14:paraId="596FD465" w14:textId="77777777" w:rsidR="004375C5" w:rsidRDefault="0020129A" w:rsidP="0020129A">
      <w:pPr>
        <w:pStyle w:val="ListParagraph"/>
        <w:numPr>
          <w:ilvl w:val="0"/>
          <w:numId w:val="5"/>
        </w:numPr>
        <w:autoSpaceDE w:val="0"/>
        <w:autoSpaceDN w:val="0"/>
        <w:adjustRightInd w:val="0"/>
        <w:spacing w:line="480" w:lineRule="auto"/>
        <w:ind w:hanging="720"/>
        <w:rPr>
          <w:rFonts w:cs="Times New Roman"/>
          <w:szCs w:val="24"/>
        </w:rPr>
      </w:pPr>
      <w:r w:rsidRPr="004375C5">
        <w:rPr>
          <w:rFonts w:cs="Times New Roman"/>
          <w:szCs w:val="24"/>
        </w:rPr>
        <w:t xml:space="preserve">The </w:t>
      </w:r>
      <w:r w:rsidR="0043044E">
        <w:rPr>
          <w:rFonts w:cs="Times New Roman"/>
          <w:szCs w:val="24"/>
        </w:rPr>
        <w:t>Stipulation</w:t>
      </w:r>
      <w:r w:rsidRPr="004375C5">
        <w:rPr>
          <w:rFonts w:cs="Times New Roman"/>
          <w:szCs w:val="24"/>
        </w:rPr>
        <w:t>, taken as a whole, is a just and reasonable resolution of all issues it</w:t>
      </w:r>
      <w:r w:rsidR="004375C5" w:rsidRPr="004375C5">
        <w:rPr>
          <w:rFonts w:cs="Times New Roman"/>
          <w:szCs w:val="24"/>
        </w:rPr>
        <w:t xml:space="preserve"> </w:t>
      </w:r>
      <w:r w:rsidRPr="004375C5">
        <w:rPr>
          <w:rFonts w:cs="Times New Roman"/>
          <w:szCs w:val="24"/>
        </w:rPr>
        <w:t>addresses, results in just and reasonable rates, terms and conditions, is consistent with the</w:t>
      </w:r>
      <w:r w:rsidR="004375C5" w:rsidRPr="004375C5">
        <w:rPr>
          <w:rFonts w:cs="Times New Roman"/>
          <w:szCs w:val="24"/>
        </w:rPr>
        <w:t xml:space="preserve"> </w:t>
      </w:r>
      <w:r w:rsidRPr="004375C5">
        <w:rPr>
          <w:rFonts w:cs="Times New Roman"/>
          <w:szCs w:val="24"/>
        </w:rPr>
        <w:t xml:space="preserve">relevant provisions of </w:t>
      </w:r>
      <w:r w:rsidR="003F3D46">
        <w:rPr>
          <w:rFonts w:cs="Times New Roman"/>
          <w:szCs w:val="24"/>
        </w:rPr>
        <w:t>TWC</w:t>
      </w:r>
      <w:r w:rsidR="004375C5" w:rsidRPr="004375C5">
        <w:rPr>
          <w:rFonts w:cs="Times New Roman"/>
          <w:szCs w:val="24"/>
        </w:rPr>
        <w:t xml:space="preserve">, </w:t>
      </w:r>
      <w:r w:rsidRPr="004375C5">
        <w:rPr>
          <w:rFonts w:cs="Times New Roman"/>
          <w:szCs w:val="24"/>
        </w:rPr>
        <w:t>Chapter 13, is consistent with the public</w:t>
      </w:r>
      <w:r w:rsidR="004375C5" w:rsidRPr="004375C5">
        <w:rPr>
          <w:rFonts w:cs="Times New Roman"/>
          <w:szCs w:val="24"/>
        </w:rPr>
        <w:t xml:space="preserve"> </w:t>
      </w:r>
      <w:r w:rsidRPr="004375C5">
        <w:rPr>
          <w:rFonts w:cs="Times New Roman"/>
          <w:szCs w:val="24"/>
        </w:rPr>
        <w:t xml:space="preserve">interest, </w:t>
      </w:r>
      <w:r w:rsidR="004375C5">
        <w:rPr>
          <w:rFonts w:cs="Times New Roman"/>
          <w:szCs w:val="24"/>
        </w:rPr>
        <w:t>a</w:t>
      </w:r>
      <w:r w:rsidRPr="004375C5">
        <w:rPr>
          <w:rFonts w:cs="Times New Roman"/>
          <w:szCs w:val="24"/>
        </w:rPr>
        <w:t>nd should be approved.</w:t>
      </w:r>
    </w:p>
    <w:p w14:paraId="32340E52" w14:textId="77777777" w:rsidR="004375C5" w:rsidRDefault="0020129A" w:rsidP="004375C5">
      <w:pPr>
        <w:pStyle w:val="ListParagraph"/>
        <w:numPr>
          <w:ilvl w:val="0"/>
          <w:numId w:val="5"/>
        </w:numPr>
        <w:autoSpaceDE w:val="0"/>
        <w:autoSpaceDN w:val="0"/>
        <w:adjustRightInd w:val="0"/>
        <w:spacing w:line="480" w:lineRule="auto"/>
        <w:ind w:hanging="720"/>
        <w:rPr>
          <w:rFonts w:cs="Times New Roman"/>
          <w:szCs w:val="24"/>
        </w:rPr>
      </w:pPr>
      <w:r w:rsidRPr="004375C5">
        <w:rPr>
          <w:rFonts w:cs="Times New Roman"/>
          <w:szCs w:val="24"/>
        </w:rPr>
        <w:t xml:space="preserve">The rates agreed to in the </w:t>
      </w:r>
      <w:r w:rsidR="00341077">
        <w:rPr>
          <w:rFonts w:cs="Times New Roman"/>
          <w:szCs w:val="24"/>
        </w:rPr>
        <w:t>Addendum</w:t>
      </w:r>
      <w:r w:rsidR="00D7032A">
        <w:rPr>
          <w:rFonts w:cs="Times New Roman"/>
          <w:szCs w:val="24"/>
        </w:rPr>
        <w:t xml:space="preserve"> based on additional agreements in the Stipulation</w:t>
      </w:r>
      <w:r w:rsidR="00341077">
        <w:rPr>
          <w:rFonts w:cs="Times New Roman"/>
          <w:szCs w:val="24"/>
        </w:rPr>
        <w:t xml:space="preserve"> </w:t>
      </w:r>
      <w:r w:rsidRPr="004375C5">
        <w:rPr>
          <w:rFonts w:cs="Times New Roman"/>
          <w:szCs w:val="24"/>
        </w:rPr>
        <w:t>are just and reasonable, comply with the ratemaking</w:t>
      </w:r>
      <w:r w:rsidR="004375C5" w:rsidRPr="004375C5">
        <w:rPr>
          <w:rFonts w:cs="Times New Roman"/>
          <w:szCs w:val="24"/>
        </w:rPr>
        <w:t xml:space="preserve"> </w:t>
      </w:r>
      <w:r w:rsidRPr="004375C5">
        <w:rPr>
          <w:rFonts w:cs="Times New Roman"/>
          <w:szCs w:val="24"/>
        </w:rPr>
        <w:t xml:space="preserve">provisions in </w:t>
      </w:r>
      <w:r w:rsidR="003F3D46">
        <w:rPr>
          <w:rFonts w:cs="Times New Roman"/>
          <w:szCs w:val="24"/>
        </w:rPr>
        <w:t>TWC</w:t>
      </w:r>
      <w:r w:rsidRPr="004375C5">
        <w:rPr>
          <w:rFonts w:cs="Times New Roman"/>
          <w:szCs w:val="24"/>
        </w:rPr>
        <w:t>, Chapter 13, and are not unreasonably</w:t>
      </w:r>
      <w:r w:rsidR="004375C5">
        <w:rPr>
          <w:rFonts w:cs="Times New Roman"/>
          <w:szCs w:val="24"/>
        </w:rPr>
        <w:t xml:space="preserve"> </w:t>
      </w:r>
      <w:r w:rsidRPr="004375C5">
        <w:rPr>
          <w:rFonts w:cs="Times New Roman"/>
          <w:szCs w:val="24"/>
        </w:rPr>
        <w:t>discriminatory, preferential, or prejudicial.</w:t>
      </w:r>
      <w:r w:rsidR="00EB14E8">
        <w:rPr>
          <w:rFonts w:cs="Times New Roman"/>
          <w:szCs w:val="24"/>
        </w:rPr>
        <w:t xml:space="preserve">  Further, the rates are sufficient, equitable, and consistent in application to each class of consumers.</w:t>
      </w:r>
    </w:p>
    <w:p w14:paraId="12161B49" w14:textId="77777777" w:rsidR="004375C5" w:rsidRDefault="0020129A" w:rsidP="0020129A">
      <w:pPr>
        <w:pStyle w:val="ListParagraph"/>
        <w:numPr>
          <w:ilvl w:val="0"/>
          <w:numId w:val="5"/>
        </w:numPr>
        <w:autoSpaceDE w:val="0"/>
        <w:autoSpaceDN w:val="0"/>
        <w:adjustRightInd w:val="0"/>
        <w:spacing w:line="480" w:lineRule="auto"/>
        <w:ind w:hanging="720"/>
        <w:rPr>
          <w:rFonts w:cs="Times New Roman"/>
          <w:szCs w:val="24"/>
        </w:rPr>
      </w:pPr>
      <w:r w:rsidRPr="004375C5">
        <w:rPr>
          <w:rFonts w:cs="Times New Roman"/>
          <w:szCs w:val="24"/>
        </w:rPr>
        <w:t xml:space="preserve">The rates resulting from the </w:t>
      </w:r>
      <w:r w:rsidR="0043044E">
        <w:rPr>
          <w:rFonts w:cs="Times New Roman"/>
          <w:szCs w:val="24"/>
        </w:rPr>
        <w:t>Stipulation</w:t>
      </w:r>
      <w:r w:rsidR="00D7032A">
        <w:rPr>
          <w:rFonts w:cs="Times New Roman"/>
          <w:szCs w:val="24"/>
        </w:rPr>
        <w:t xml:space="preserve"> and Addendum</w:t>
      </w:r>
      <w:r w:rsidRPr="004375C5">
        <w:rPr>
          <w:rFonts w:cs="Times New Roman"/>
          <w:szCs w:val="24"/>
        </w:rPr>
        <w:t xml:space="preserve"> are just and reasonable, and consistent with </w:t>
      </w:r>
      <w:r w:rsidR="003F3D46">
        <w:rPr>
          <w:rFonts w:cs="Times New Roman"/>
          <w:szCs w:val="24"/>
        </w:rPr>
        <w:t>TWC</w:t>
      </w:r>
      <w:r w:rsidRPr="004375C5">
        <w:rPr>
          <w:rFonts w:cs="Times New Roman"/>
          <w:szCs w:val="24"/>
        </w:rPr>
        <w:t>, Chapter 13.</w:t>
      </w:r>
    </w:p>
    <w:p w14:paraId="75217B89" w14:textId="77777777" w:rsidR="00BD0A9F" w:rsidRPr="00F1127A" w:rsidRDefault="0020129A" w:rsidP="00CA700E">
      <w:pPr>
        <w:pStyle w:val="ListParagraph"/>
        <w:numPr>
          <w:ilvl w:val="0"/>
          <w:numId w:val="5"/>
        </w:numPr>
        <w:autoSpaceDE w:val="0"/>
        <w:autoSpaceDN w:val="0"/>
        <w:adjustRightInd w:val="0"/>
        <w:spacing w:line="480" w:lineRule="auto"/>
        <w:ind w:hanging="720"/>
        <w:rPr>
          <w:rFonts w:cs="Times New Roman"/>
          <w:szCs w:val="24"/>
        </w:rPr>
      </w:pPr>
      <w:r w:rsidRPr="004375C5">
        <w:rPr>
          <w:rFonts w:cs="Times New Roman"/>
          <w:szCs w:val="24"/>
        </w:rPr>
        <w:t xml:space="preserve">The requirements for informal disposition under </w:t>
      </w:r>
      <w:r w:rsidR="003F3D46">
        <w:rPr>
          <w:rFonts w:cs="Times New Roman"/>
          <w:szCs w:val="24"/>
        </w:rPr>
        <w:t xml:space="preserve">16 TAC § </w:t>
      </w:r>
      <w:r w:rsidRPr="004375C5">
        <w:rPr>
          <w:rFonts w:cs="Times New Roman"/>
          <w:szCs w:val="24"/>
        </w:rPr>
        <w:t>22.35 have been met in</w:t>
      </w:r>
      <w:r w:rsidR="004375C5">
        <w:rPr>
          <w:rFonts w:cs="Times New Roman"/>
          <w:szCs w:val="24"/>
        </w:rPr>
        <w:t xml:space="preserve"> </w:t>
      </w:r>
      <w:r w:rsidRPr="004375C5">
        <w:rPr>
          <w:rFonts w:cs="Times New Roman"/>
          <w:szCs w:val="24"/>
        </w:rPr>
        <w:t>this proceeding.</w:t>
      </w:r>
    </w:p>
    <w:p w14:paraId="208D2391" w14:textId="77777777" w:rsidR="00BD0A9F" w:rsidRDefault="00BD0A9F" w:rsidP="00E0016F">
      <w:pPr>
        <w:keepNext/>
        <w:keepLines/>
        <w:autoSpaceDE w:val="0"/>
        <w:autoSpaceDN w:val="0"/>
        <w:adjustRightInd w:val="0"/>
        <w:spacing w:line="480" w:lineRule="auto"/>
        <w:jc w:val="center"/>
        <w:rPr>
          <w:rFonts w:cs="Times New Roman"/>
          <w:b/>
          <w:szCs w:val="24"/>
        </w:rPr>
      </w:pPr>
      <w:r w:rsidRPr="00BD0A9F">
        <w:rPr>
          <w:rFonts w:cs="Times New Roman"/>
          <w:b/>
          <w:szCs w:val="24"/>
        </w:rPr>
        <w:t>I</w:t>
      </w:r>
      <w:r w:rsidR="008724E0">
        <w:rPr>
          <w:rFonts w:cs="Times New Roman"/>
          <w:b/>
          <w:szCs w:val="24"/>
        </w:rPr>
        <w:t>V</w:t>
      </w:r>
      <w:r w:rsidRPr="00BD0A9F">
        <w:rPr>
          <w:rFonts w:cs="Times New Roman"/>
          <w:b/>
          <w:szCs w:val="24"/>
        </w:rPr>
        <w:t xml:space="preserve">. </w:t>
      </w:r>
      <w:r w:rsidR="00E0016F">
        <w:rPr>
          <w:rFonts w:cs="Times New Roman"/>
          <w:b/>
          <w:szCs w:val="24"/>
        </w:rPr>
        <w:t xml:space="preserve"> </w:t>
      </w:r>
      <w:r w:rsidRPr="00BD0A9F">
        <w:rPr>
          <w:rFonts w:cs="Times New Roman"/>
          <w:b/>
          <w:szCs w:val="24"/>
        </w:rPr>
        <w:t>Ordering Paragraphs</w:t>
      </w:r>
    </w:p>
    <w:p w14:paraId="619A419F" w14:textId="77777777" w:rsidR="00BD0A9F" w:rsidRPr="00BD0A9F" w:rsidRDefault="00BD0A9F" w:rsidP="00E0016F">
      <w:pPr>
        <w:pStyle w:val="ListParagraph"/>
        <w:keepNext/>
        <w:keepLines/>
        <w:autoSpaceDE w:val="0"/>
        <w:autoSpaceDN w:val="0"/>
        <w:adjustRightInd w:val="0"/>
        <w:spacing w:line="480" w:lineRule="auto"/>
        <w:ind w:left="0" w:firstLine="720"/>
        <w:rPr>
          <w:rFonts w:cs="Times New Roman"/>
          <w:szCs w:val="24"/>
        </w:rPr>
      </w:pPr>
      <w:r w:rsidRPr="00BD0A9F">
        <w:rPr>
          <w:rFonts w:cs="Times New Roman"/>
          <w:szCs w:val="24"/>
        </w:rPr>
        <w:t>In accordance with these findings of fact and conclusions of law, the Commission issues</w:t>
      </w:r>
      <w:r w:rsidR="00CA700E">
        <w:rPr>
          <w:rFonts w:cs="Times New Roman"/>
          <w:szCs w:val="24"/>
        </w:rPr>
        <w:t xml:space="preserve"> </w:t>
      </w:r>
      <w:r w:rsidRPr="00BD0A9F">
        <w:rPr>
          <w:rFonts w:cs="Times New Roman"/>
          <w:szCs w:val="24"/>
        </w:rPr>
        <w:t>the following order:</w:t>
      </w:r>
    </w:p>
    <w:p w14:paraId="75D469B1" w14:textId="77777777" w:rsidR="00BD0A9F" w:rsidRPr="004915C5" w:rsidRDefault="004915C5" w:rsidP="004915C5">
      <w:pPr>
        <w:pStyle w:val="ListParagraph"/>
        <w:numPr>
          <w:ilvl w:val="0"/>
          <w:numId w:val="7"/>
        </w:numPr>
        <w:autoSpaceDE w:val="0"/>
        <w:autoSpaceDN w:val="0"/>
        <w:adjustRightInd w:val="0"/>
        <w:spacing w:line="480" w:lineRule="auto"/>
        <w:ind w:hanging="720"/>
        <w:rPr>
          <w:rFonts w:cs="Times New Roman"/>
          <w:szCs w:val="24"/>
        </w:rPr>
      </w:pPr>
      <w:r>
        <w:rPr>
          <w:rFonts w:cs="Times New Roman"/>
          <w:szCs w:val="24"/>
        </w:rPr>
        <w:t xml:space="preserve">The Liberty Utilities’ </w:t>
      </w:r>
      <w:r w:rsidR="00BD0A9F" w:rsidRPr="004915C5">
        <w:rPr>
          <w:rFonts w:cs="Times New Roman"/>
          <w:szCs w:val="24"/>
        </w:rPr>
        <w:t>application</w:t>
      </w:r>
      <w:r w:rsidR="00D14DFA">
        <w:rPr>
          <w:rFonts w:cs="Times New Roman"/>
          <w:szCs w:val="24"/>
        </w:rPr>
        <w:t>s</w:t>
      </w:r>
      <w:r w:rsidR="00BD0A9F" w:rsidRPr="004915C5">
        <w:rPr>
          <w:rFonts w:cs="Times New Roman"/>
          <w:szCs w:val="24"/>
        </w:rPr>
        <w:t xml:space="preserve"> seeking authority to (a) change its rates and tariff, and (b) for other</w:t>
      </w:r>
      <w:r w:rsidRPr="004915C5">
        <w:rPr>
          <w:rFonts w:cs="Times New Roman"/>
          <w:szCs w:val="24"/>
        </w:rPr>
        <w:t xml:space="preserve"> </w:t>
      </w:r>
      <w:r w:rsidR="00BD0A9F" w:rsidRPr="004915C5">
        <w:rPr>
          <w:rFonts w:cs="Times New Roman"/>
          <w:szCs w:val="24"/>
        </w:rPr>
        <w:t xml:space="preserve">related relief </w:t>
      </w:r>
      <w:r w:rsidR="00D14DFA">
        <w:rPr>
          <w:rFonts w:cs="Times New Roman"/>
          <w:szCs w:val="24"/>
        </w:rPr>
        <w:t xml:space="preserve">are </w:t>
      </w:r>
      <w:r w:rsidR="00BD0A9F" w:rsidRPr="004915C5">
        <w:rPr>
          <w:rFonts w:cs="Times New Roman"/>
          <w:szCs w:val="24"/>
        </w:rPr>
        <w:t>approved consistent with the above findings of fact and conclusions of</w:t>
      </w:r>
      <w:r>
        <w:rPr>
          <w:rFonts w:cs="Times New Roman"/>
          <w:szCs w:val="24"/>
        </w:rPr>
        <w:t xml:space="preserve"> </w:t>
      </w:r>
      <w:r w:rsidR="00BD0A9F" w:rsidRPr="004915C5">
        <w:rPr>
          <w:rFonts w:cs="Times New Roman"/>
          <w:szCs w:val="24"/>
        </w:rPr>
        <w:t>law</w:t>
      </w:r>
      <w:r w:rsidR="00C76DFF">
        <w:rPr>
          <w:rFonts w:cs="Times New Roman"/>
          <w:szCs w:val="24"/>
        </w:rPr>
        <w:t xml:space="preserve">, </w:t>
      </w:r>
      <w:r w:rsidR="00BD0A9F" w:rsidRPr="004915C5">
        <w:rPr>
          <w:rFonts w:cs="Times New Roman"/>
          <w:szCs w:val="24"/>
        </w:rPr>
        <w:t xml:space="preserve">the </w:t>
      </w:r>
      <w:r w:rsidR="0043044E">
        <w:rPr>
          <w:rFonts w:cs="Times New Roman"/>
          <w:szCs w:val="24"/>
        </w:rPr>
        <w:t>Stipulation</w:t>
      </w:r>
      <w:r w:rsidR="00C76DFF">
        <w:rPr>
          <w:rFonts w:cs="Times New Roman"/>
          <w:szCs w:val="24"/>
        </w:rPr>
        <w:t>, and the Addendum</w:t>
      </w:r>
      <w:r w:rsidR="00BD0A9F" w:rsidRPr="004915C5">
        <w:rPr>
          <w:rFonts w:cs="Times New Roman"/>
          <w:szCs w:val="24"/>
        </w:rPr>
        <w:t>.</w:t>
      </w:r>
    </w:p>
    <w:p w14:paraId="70E7B1F2" w14:textId="77777777" w:rsidR="004915C5" w:rsidRDefault="00BD0A9F" w:rsidP="004915C5">
      <w:pPr>
        <w:pStyle w:val="ListParagraph"/>
        <w:numPr>
          <w:ilvl w:val="0"/>
          <w:numId w:val="7"/>
        </w:numPr>
        <w:autoSpaceDE w:val="0"/>
        <w:autoSpaceDN w:val="0"/>
        <w:adjustRightInd w:val="0"/>
        <w:spacing w:line="480" w:lineRule="auto"/>
        <w:ind w:hanging="720"/>
        <w:rPr>
          <w:rFonts w:cs="Times New Roman"/>
          <w:szCs w:val="24"/>
        </w:rPr>
      </w:pPr>
      <w:r w:rsidRPr="004915C5">
        <w:rPr>
          <w:rFonts w:cs="Times New Roman"/>
          <w:szCs w:val="24"/>
        </w:rPr>
        <w:t xml:space="preserve">Rates, terms, and conditions consistent with the </w:t>
      </w:r>
      <w:r w:rsidR="0043044E">
        <w:rPr>
          <w:rFonts w:cs="Times New Roman"/>
          <w:szCs w:val="24"/>
        </w:rPr>
        <w:t>Stipulation</w:t>
      </w:r>
      <w:r w:rsidR="004915C5">
        <w:rPr>
          <w:rFonts w:cs="Times New Roman"/>
          <w:szCs w:val="24"/>
        </w:rPr>
        <w:t xml:space="preserve"> </w:t>
      </w:r>
      <w:r w:rsidR="00E0016F">
        <w:rPr>
          <w:rFonts w:cs="Times New Roman"/>
          <w:szCs w:val="24"/>
        </w:rPr>
        <w:t xml:space="preserve">and the Addendum </w:t>
      </w:r>
      <w:r w:rsidRPr="004915C5">
        <w:rPr>
          <w:rFonts w:cs="Times New Roman"/>
          <w:szCs w:val="24"/>
        </w:rPr>
        <w:t>are approved.</w:t>
      </w:r>
      <w:r w:rsidR="004915C5">
        <w:rPr>
          <w:rFonts w:cs="Times New Roman"/>
          <w:szCs w:val="24"/>
        </w:rPr>
        <w:t xml:space="preserve"> </w:t>
      </w:r>
    </w:p>
    <w:p w14:paraId="03A27A7E" w14:textId="77777777" w:rsidR="00BD0A9F" w:rsidRPr="004915C5" w:rsidRDefault="00BD0A9F" w:rsidP="004915C5">
      <w:pPr>
        <w:pStyle w:val="ListParagraph"/>
        <w:numPr>
          <w:ilvl w:val="0"/>
          <w:numId w:val="7"/>
        </w:numPr>
        <w:autoSpaceDE w:val="0"/>
        <w:autoSpaceDN w:val="0"/>
        <w:adjustRightInd w:val="0"/>
        <w:spacing w:line="480" w:lineRule="auto"/>
        <w:ind w:hanging="720"/>
        <w:rPr>
          <w:rFonts w:cs="Times New Roman"/>
          <w:szCs w:val="24"/>
        </w:rPr>
      </w:pPr>
      <w:r w:rsidRPr="004915C5">
        <w:rPr>
          <w:rFonts w:cs="Times New Roman"/>
          <w:szCs w:val="24"/>
        </w:rPr>
        <w:t>The proposed tariff</w:t>
      </w:r>
      <w:r w:rsidR="00D14DFA">
        <w:rPr>
          <w:rFonts w:cs="Times New Roman"/>
          <w:szCs w:val="24"/>
        </w:rPr>
        <w:t>s</w:t>
      </w:r>
      <w:r w:rsidRPr="004915C5">
        <w:rPr>
          <w:rFonts w:cs="Times New Roman"/>
          <w:szCs w:val="24"/>
        </w:rPr>
        <w:t xml:space="preserve"> submitted with the </w:t>
      </w:r>
      <w:r w:rsidR="00376834">
        <w:rPr>
          <w:rFonts w:cs="Times New Roman"/>
          <w:szCs w:val="24"/>
        </w:rPr>
        <w:t xml:space="preserve">Addendum </w:t>
      </w:r>
      <w:r w:rsidRPr="004915C5">
        <w:rPr>
          <w:rFonts w:cs="Times New Roman"/>
          <w:szCs w:val="24"/>
        </w:rPr>
        <w:t xml:space="preserve">as </w:t>
      </w:r>
      <w:r w:rsidR="001332B1">
        <w:rPr>
          <w:rFonts w:cs="Times New Roman"/>
          <w:szCs w:val="24"/>
        </w:rPr>
        <w:t>Exhibit</w:t>
      </w:r>
      <w:r w:rsidRPr="004915C5">
        <w:rPr>
          <w:rFonts w:cs="Times New Roman"/>
          <w:szCs w:val="24"/>
        </w:rPr>
        <w:t xml:space="preserve"> A</w:t>
      </w:r>
      <w:r w:rsidR="00E0016F">
        <w:rPr>
          <w:rFonts w:cs="Times New Roman"/>
          <w:szCs w:val="24"/>
        </w:rPr>
        <w:t>-1</w:t>
      </w:r>
      <w:r w:rsidRPr="004915C5">
        <w:rPr>
          <w:rFonts w:cs="Times New Roman"/>
          <w:szCs w:val="24"/>
        </w:rPr>
        <w:t xml:space="preserve"> </w:t>
      </w:r>
      <w:r w:rsidR="004915C5">
        <w:rPr>
          <w:rFonts w:cs="Times New Roman"/>
          <w:szCs w:val="24"/>
        </w:rPr>
        <w:t xml:space="preserve">and </w:t>
      </w:r>
      <w:r w:rsidR="001332B1">
        <w:rPr>
          <w:rFonts w:cs="Times New Roman"/>
          <w:szCs w:val="24"/>
        </w:rPr>
        <w:t>Exhibit</w:t>
      </w:r>
      <w:r w:rsidR="004915C5">
        <w:rPr>
          <w:rFonts w:cs="Times New Roman"/>
          <w:szCs w:val="24"/>
        </w:rPr>
        <w:t xml:space="preserve"> B</w:t>
      </w:r>
      <w:r w:rsidR="00E0016F">
        <w:rPr>
          <w:rFonts w:cs="Times New Roman"/>
          <w:szCs w:val="24"/>
        </w:rPr>
        <w:t>-1</w:t>
      </w:r>
      <w:r w:rsidR="004915C5">
        <w:rPr>
          <w:rFonts w:cs="Times New Roman"/>
          <w:szCs w:val="24"/>
        </w:rPr>
        <w:t xml:space="preserve">, </w:t>
      </w:r>
      <w:r w:rsidRPr="004915C5">
        <w:rPr>
          <w:rFonts w:cs="Times New Roman"/>
          <w:szCs w:val="24"/>
        </w:rPr>
        <w:t>provided with</w:t>
      </w:r>
      <w:r w:rsidR="004915C5">
        <w:rPr>
          <w:rFonts w:cs="Times New Roman"/>
          <w:szCs w:val="24"/>
        </w:rPr>
        <w:t xml:space="preserve"> </w:t>
      </w:r>
      <w:r w:rsidRPr="004915C5">
        <w:rPr>
          <w:rFonts w:cs="Times New Roman"/>
          <w:szCs w:val="24"/>
        </w:rPr>
        <w:t>this Order</w:t>
      </w:r>
      <w:r w:rsidR="004915C5">
        <w:rPr>
          <w:rFonts w:cs="Times New Roman"/>
          <w:szCs w:val="24"/>
        </w:rPr>
        <w:t>,</w:t>
      </w:r>
      <w:r w:rsidRPr="004915C5">
        <w:rPr>
          <w:rFonts w:cs="Times New Roman"/>
          <w:szCs w:val="24"/>
        </w:rPr>
        <w:t xml:space="preserve"> </w:t>
      </w:r>
      <w:r w:rsidR="00E0016F">
        <w:rPr>
          <w:rFonts w:cs="Times New Roman"/>
          <w:szCs w:val="24"/>
        </w:rPr>
        <w:t xml:space="preserve">are </w:t>
      </w:r>
      <w:r w:rsidRPr="004915C5">
        <w:rPr>
          <w:rFonts w:cs="Times New Roman"/>
          <w:szCs w:val="24"/>
        </w:rPr>
        <w:t>approved</w:t>
      </w:r>
      <w:r w:rsidR="009857BE">
        <w:rPr>
          <w:rFonts w:cs="Times New Roman"/>
          <w:szCs w:val="24"/>
        </w:rPr>
        <w:t xml:space="preserve"> to be effective as final rates on the first day of the month following Commission approval.</w:t>
      </w:r>
      <w:r w:rsidR="00D7032A">
        <w:rPr>
          <w:rFonts w:cs="Times New Roman"/>
          <w:szCs w:val="24"/>
        </w:rPr>
        <w:t xml:space="preserve">  However, </w:t>
      </w:r>
      <w:r w:rsidR="00FE21A4">
        <w:rPr>
          <w:rFonts w:cs="Times New Roman"/>
          <w:szCs w:val="24"/>
        </w:rPr>
        <w:t xml:space="preserve">Liberty Tall Timbers and Liberty Woodmark may file updated tariffs to reflect </w:t>
      </w:r>
      <w:r w:rsidR="00953696">
        <w:rPr>
          <w:rFonts w:cs="Times New Roman"/>
          <w:szCs w:val="24"/>
        </w:rPr>
        <w:t xml:space="preserve">the </w:t>
      </w:r>
      <w:r w:rsidR="00FE21A4">
        <w:rPr>
          <w:rFonts w:cs="Times New Roman"/>
          <w:szCs w:val="24"/>
        </w:rPr>
        <w:t>recent 16 TAC, Chapter 24 rule</w:t>
      </w:r>
      <w:r w:rsidR="001D72F3">
        <w:rPr>
          <w:rFonts w:cs="Times New Roman"/>
          <w:szCs w:val="24"/>
        </w:rPr>
        <w:t xml:space="preserve"> numbering</w:t>
      </w:r>
      <w:r w:rsidR="00FE21A4">
        <w:rPr>
          <w:rFonts w:cs="Times New Roman"/>
          <w:szCs w:val="24"/>
        </w:rPr>
        <w:t xml:space="preserve"> changes</w:t>
      </w:r>
      <w:r w:rsidR="00953696">
        <w:rPr>
          <w:rFonts w:cs="Times New Roman"/>
          <w:szCs w:val="24"/>
        </w:rPr>
        <w:t xml:space="preserve"> that took effect October 17, 2018</w:t>
      </w:r>
      <w:r w:rsidR="00FE21A4">
        <w:rPr>
          <w:rFonts w:cs="Times New Roman"/>
          <w:szCs w:val="24"/>
        </w:rPr>
        <w:t>.</w:t>
      </w:r>
    </w:p>
    <w:p w14:paraId="0B41E4B5" w14:textId="77777777" w:rsidR="00F72D27" w:rsidRDefault="007E5246" w:rsidP="00F72D27">
      <w:pPr>
        <w:pStyle w:val="ListParagraph"/>
        <w:numPr>
          <w:ilvl w:val="0"/>
          <w:numId w:val="7"/>
        </w:numPr>
        <w:autoSpaceDE w:val="0"/>
        <w:autoSpaceDN w:val="0"/>
        <w:adjustRightInd w:val="0"/>
        <w:spacing w:line="480" w:lineRule="auto"/>
        <w:ind w:hanging="720"/>
        <w:rPr>
          <w:rFonts w:cs="Times New Roman"/>
          <w:szCs w:val="24"/>
        </w:rPr>
      </w:pPr>
      <w:r>
        <w:rPr>
          <w:rFonts w:cs="Times New Roman"/>
          <w:szCs w:val="24"/>
        </w:rPr>
        <w:t>N</w:t>
      </w:r>
      <w:r w:rsidR="00C8089C">
        <w:rPr>
          <w:rFonts w:cs="Times New Roman"/>
          <w:szCs w:val="24"/>
        </w:rPr>
        <w:t xml:space="preserve">o </w:t>
      </w:r>
      <w:r>
        <w:rPr>
          <w:rFonts w:cs="Times New Roman"/>
          <w:szCs w:val="24"/>
        </w:rPr>
        <w:t xml:space="preserve">Applicant is </w:t>
      </w:r>
      <w:r w:rsidR="00BD0A9F" w:rsidRPr="004915C5">
        <w:rPr>
          <w:rFonts w:cs="Times New Roman"/>
          <w:szCs w:val="24"/>
        </w:rPr>
        <w:t>required to issue any refunds or credits for the difference between its</w:t>
      </w:r>
      <w:r w:rsidR="004915C5" w:rsidRPr="004915C5">
        <w:rPr>
          <w:rFonts w:cs="Times New Roman"/>
          <w:szCs w:val="24"/>
        </w:rPr>
        <w:t xml:space="preserve"> </w:t>
      </w:r>
      <w:r w:rsidR="00BD0A9F" w:rsidRPr="004915C5">
        <w:rPr>
          <w:rFonts w:cs="Times New Roman"/>
          <w:szCs w:val="24"/>
        </w:rPr>
        <w:t xml:space="preserve">requested rates in effect between </w:t>
      </w:r>
      <w:r w:rsidR="004915C5">
        <w:rPr>
          <w:rFonts w:cs="Times New Roman"/>
          <w:szCs w:val="24"/>
        </w:rPr>
        <w:t>February 1</w:t>
      </w:r>
      <w:r w:rsidR="00BD0A9F" w:rsidRPr="004915C5">
        <w:rPr>
          <w:rFonts w:cs="Times New Roman"/>
          <w:szCs w:val="24"/>
        </w:rPr>
        <w:t>, 201</w:t>
      </w:r>
      <w:r w:rsidR="004915C5">
        <w:rPr>
          <w:rFonts w:cs="Times New Roman"/>
          <w:szCs w:val="24"/>
        </w:rPr>
        <w:t>7</w:t>
      </w:r>
      <w:r w:rsidR="00BD0A9F" w:rsidRPr="004915C5">
        <w:rPr>
          <w:rFonts w:cs="Times New Roman"/>
          <w:szCs w:val="24"/>
        </w:rPr>
        <w:t xml:space="preserve"> and </w:t>
      </w:r>
      <w:r w:rsidR="00E17B54">
        <w:rPr>
          <w:rFonts w:cs="Times New Roman"/>
          <w:szCs w:val="24"/>
        </w:rPr>
        <w:t xml:space="preserve">the </w:t>
      </w:r>
      <w:r w:rsidR="009857BE">
        <w:rPr>
          <w:rFonts w:cs="Times New Roman"/>
          <w:szCs w:val="24"/>
        </w:rPr>
        <w:t xml:space="preserve">effective date </w:t>
      </w:r>
      <w:r w:rsidR="00F37CE7">
        <w:rPr>
          <w:rFonts w:cs="Times New Roman"/>
          <w:szCs w:val="24"/>
        </w:rPr>
        <w:t>for</w:t>
      </w:r>
      <w:r w:rsidR="009857BE">
        <w:rPr>
          <w:rFonts w:cs="Times New Roman"/>
          <w:szCs w:val="24"/>
        </w:rPr>
        <w:t xml:space="preserve"> final rates pursuant to</w:t>
      </w:r>
      <w:r w:rsidR="00E17B54">
        <w:rPr>
          <w:rFonts w:cs="Times New Roman"/>
          <w:szCs w:val="24"/>
        </w:rPr>
        <w:t xml:space="preserve"> this Order</w:t>
      </w:r>
      <w:r>
        <w:rPr>
          <w:rFonts w:cs="Times New Roman"/>
          <w:szCs w:val="24"/>
        </w:rPr>
        <w:t>.</w:t>
      </w:r>
    </w:p>
    <w:p w14:paraId="79EF9851" w14:textId="4AD37D87" w:rsidR="00F4558F" w:rsidRPr="00F72D27" w:rsidRDefault="000A549E" w:rsidP="00F72D27">
      <w:pPr>
        <w:pStyle w:val="ListParagraph"/>
        <w:numPr>
          <w:ilvl w:val="0"/>
          <w:numId w:val="7"/>
        </w:numPr>
        <w:autoSpaceDE w:val="0"/>
        <w:autoSpaceDN w:val="0"/>
        <w:adjustRightInd w:val="0"/>
        <w:spacing w:line="480" w:lineRule="auto"/>
        <w:ind w:hanging="720"/>
        <w:rPr>
          <w:rFonts w:cs="Times New Roman"/>
          <w:szCs w:val="24"/>
        </w:rPr>
      </w:pPr>
      <w:r w:rsidRPr="00F72D27">
        <w:rPr>
          <w:rFonts w:cs="Times New Roman"/>
          <w:szCs w:val="24"/>
        </w:rPr>
        <w:t xml:space="preserve">The FTCCR rates reflected in the Addendum tariff exhibits </w:t>
      </w:r>
      <w:r w:rsidR="00F4558F" w:rsidRPr="00F72D27">
        <w:rPr>
          <w:rFonts w:cs="Times New Roman"/>
          <w:szCs w:val="24"/>
        </w:rPr>
        <w:t>fully address federal tax expense savings issues for Liberty Tall Timbers and Liberty Woodmark until each utility’s next respective rate case so long as the FTCCR</w:t>
      </w:r>
      <w:r w:rsidR="00E231B0">
        <w:rPr>
          <w:rFonts w:cs="Times New Roman"/>
          <w:szCs w:val="24"/>
        </w:rPr>
        <w:t xml:space="preserve"> rates</w:t>
      </w:r>
      <w:r w:rsidR="00F4558F" w:rsidRPr="00F72D27">
        <w:rPr>
          <w:rFonts w:cs="Times New Roman"/>
          <w:szCs w:val="24"/>
        </w:rPr>
        <w:t xml:space="preserve"> remain in effect.  </w:t>
      </w:r>
      <w:r w:rsidR="005E3EF2" w:rsidRPr="00F72D27">
        <w:rPr>
          <w:rFonts w:cs="Times New Roman"/>
          <w:szCs w:val="24"/>
        </w:rPr>
        <w:t xml:space="preserve">If </w:t>
      </w:r>
      <w:r w:rsidR="00F4558F" w:rsidRPr="00F72D27">
        <w:rPr>
          <w:rFonts w:cs="Times New Roman"/>
          <w:szCs w:val="24"/>
        </w:rPr>
        <w:t xml:space="preserve">the corporate tax rate reductions in the </w:t>
      </w:r>
      <w:r w:rsidR="00A738DE">
        <w:t>TCJA</w:t>
      </w:r>
      <w:r w:rsidR="00F4558F" w:rsidRPr="00F72D27">
        <w:rPr>
          <w:rFonts w:cs="Times New Roman"/>
          <w:szCs w:val="24"/>
        </w:rPr>
        <w:t xml:space="preserve"> are modified in whole, or in part, before the next Liberty Tall Timbers or Liberty Woodmark rate case, each respective utility may apply to modify </w:t>
      </w:r>
      <w:r w:rsidR="004740A5">
        <w:rPr>
          <w:rFonts w:cs="Times New Roman"/>
          <w:szCs w:val="24"/>
        </w:rPr>
        <w:t>its</w:t>
      </w:r>
      <w:r w:rsidR="00F4558F" w:rsidRPr="00F72D27">
        <w:rPr>
          <w:rFonts w:cs="Times New Roman"/>
          <w:szCs w:val="24"/>
        </w:rPr>
        <w:t xml:space="preserve"> FTCCR.  The </w:t>
      </w:r>
      <w:r w:rsidR="00244C9C">
        <w:rPr>
          <w:rFonts w:cs="Times New Roman"/>
          <w:szCs w:val="24"/>
        </w:rPr>
        <w:t xml:space="preserve">approved </w:t>
      </w:r>
      <w:r w:rsidR="00F4558F" w:rsidRPr="00F72D27">
        <w:rPr>
          <w:rFonts w:cs="Times New Roman"/>
          <w:szCs w:val="24"/>
        </w:rPr>
        <w:t>FTCCR</w:t>
      </w:r>
      <w:r w:rsidR="00402CA5">
        <w:rPr>
          <w:rFonts w:cs="Times New Roman"/>
          <w:szCs w:val="24"/>
        </w:rPr>
        <w:t>s</w:t>
      </w:r>
      <w:r w:rsidR="00F4558F" w:rsidRPr="00F72D27">
        <w:rPr>
          <w:rFonts w:cs="Times New Roman"/>
          <w:szCs w:val="24"/>
        </w:rPr>
        <w:t xml:space="preserve"> do not address the return to customer of any excess deferred federal income taxes, which may be addressed in the next Liberty Tall Timbers or Liberty Woodmark rate case.  </w:t>
      </w:r>
    </w:p>
    <w:p w14:paraId="77B34DD7" w14:textId="77777777" w:rsidR="00BD0A9F" w:rsidRPr="004915C5" w:rsidRDefault="00BD0A9F" w:rsidP="004915C5">
      <w:pPr>
        <w:pStyle w:val="ListParagraph"/>
        <w:numPr>
          <w:ilvl w:val="0"/>
          <w:numId w:val="7"/>
        </w:numPr>
        <w:autoSpaceDE w:val="0"/>
        <w:autoSpaceDN w:val="0"/>
        <w:adjustRightInd w:val="0"/>
        <w:spacing w:line="480" w:lineRule="auto"/>
        <w:ind w:hanging="720"/>
        <w:rPr>
          <w:rFonts w:cs="Times New Roman"/>
          <w:szCs w:val="24"/>
        </w:rPr>
      </w:pPr>
      <w:r w:rsidRPr="004915C5">
        <w:rPr>
          <w:rFonts w:cs="Times New Roman"/>
          <w:szCs w:val="24"/>
        </w:rPr>
        <w:t>Entry of this Order does not indicate the Commission</w:t>
      </w:r>
      <w:r w:rsidR="004915C5">
        <w:rPr>
          <w:rFonts w:cs="Times New Roman"/>
          <w:szCs w:val="24"/>
        </w:rPr>
        <w:t>’</w:t>
      </w:r>
      <w:r w:rsidRPr="004915C5">
        <w:rPr>
          <w:rFonts w:cs="Times New Roman"/>
          <w:szCs w:val="24"/>
        </w:rPr>
        <w:t>s endorsement or approval of any</w:t>
      </w:r>
      <w:r w:rsidR="004915C5">
        <w:rPr>
          <w:rFonts w:cs="Times New Roman"/>
          <w:szCs w:val="24"/>
        </w:rPr>
        <w:t xml:space="preserve"> </w:t>
      </w:r>
      <w:r w:rsidRPr="004915C5">
        <w:rPr>
          <w:rFonts w:cs="Times New Roman"/>
          <w:szCs w:val="24"/>
        </w:rPr>
        <w:t xml:space="preserve">principle or methodology that may underlie the </w:t>
      </w:r>
      <w:r w:rsidR="0043044E">
        <w:rPr>
          <w:rFonts w:cs="Times New Roman"/>
          <w:szCs w:val="24"/>
        </w:rPr>
        <w:t>Stipulation</w:t>
      </w:r>
      <w:r w:rsidR="00376834">
        <w:rPr>
          <w:rFonts w:cs="Times New Roman"/>
          <w:szCs w:val="24"/>
        </w:rPr>
        <w:t xml:space="preserve"> or Addendum</w:t>
      </w:r>
      <w:r w:rsidRPr="004915C5">
        <w:rPr>
          <w:rFonts w:cs="Times New Roman"/>
          <w:szCs w:val="24"/>
        </w:rPr>
        <w:t xml:space="preserve">. </w:t>
      </w:r>
      <w:r w:rsidR="004915C5">
        <w:rPr>
          <w:rFonts w:cs="Times New Roman"/>
          <w:szCs w:val="24"/>
        </w:rPr>
        <w:t xml:space="preserve"> </w:t>
      </w:r>
      <w:r w:rsidRPr="004915C5">
        <w:rPr>
          <w:rFonts w:cs="Times New Roman"/>
          <w:szCs w:val="24"/>
        </w:rPr>
        <w:t>Entry of this Order shall not</w:t>
      </w:r>
      <w:r w:rsidR="004915C5" w:rsidRPr="004915C5">
        <w:rPr>
          <w:rFonts w:cs="Times New Roman"/>
          <w:szCs w:val="24"/>
        </w:rPr>
        <w:t xml:space="preserve"> </w:t>
      </w:r>
      <w:r w:rsidRPr="004915C5">
        <w:rPr>
          <w:rFonts w:cs="Times New Roman"/>
          <w:szCs w:val="24"/>
        </w:rPr>
        <w:t xml:space="preserve">be regarded as </w:t>
      </w:r>
      <w:r w:rsidR="00AC3A13">
        <w:rPr>
          <w:rFonts w:cs="Times New Roman"/>
          <w:szCs w:val="24"/>
        </w:rPr>
        <w:t xml:space="preserve">a </w:t>
      </w:r>
      <w:r w:rsidRPr="004915C5">
        <w:rPr>
          <w:rFonts w:cs="Times New Roman"/>
          <w:szCs w:val="24"/>
        </w:rPr>
        <w:t>binding holding or precedent as to the appropriateness of any principle or</w:t>
      </w:r>
      <w:r w:rsidR="004915C5">
        <w:rPr>
          <w:rFonts w:cs="Times New Roman"/>
          <w:szCs w:val="24"/>
        </w:rPr>
        <w:t xml:space="preserve"> </w:t>
      </w:r>
      <w:r w:rsidRPr="004915C5">
        <w:rPr>
          <w:rFonts w:cs="Times New Roman"/>
          <w:szCs w:val="24"/>
        </w:rPr>
        <w:t xml:space="preserve">methodology underlying the </w:t>
      </w:r>
      <w:r w:rsidR="0043044E">
        <w:rPr>
          <w:rFonts w:cs="Times New Roman"/>
          <w:szCs w:val="24"/>
        </w:rPr>
        <w:t>Stipulation</w:t>
      </w:r>
      <w:r w:rsidR="00376834">
        <w:rPr>
          <w:rFonts w:cs="Times New Roman"/>
          <w:szCs w:val="24"/>
        </w:rPr>
        <w:t xml:space="preserve"> or Addendum</w:t>
      </w:r>
      <w:r w:rsidRPr="004915C5">
        <w:rPr>
          <w:rFonts w:cs="Times New Roman"/>
          <w:szCs w:val="24"/>
        </w:rPr>
        <w:t>.</w:t>
      </w:r>
    </w:p>
    <w:p w14:paraId="34BE1908" w14:textId="77777777" w:rsidR="00BD0A9F" w:rsidRPr="004915C5" w:rsidRDefault="00BD0A9F" w:rsidP="004915C5">
      <w:pPr>
        <w:pStyle w:val="ListParagraph"/>
        <w:numPr>
          <w:ilvl w:val="0"/>
          <w:numId w:val="7"/>
        </w:numPr>
        <w:autoSpaceDE w:val="0"/>
        <w:autoSpaceDN w:val="0"/>
        <w:adjustRightInd w:val="0"/>
        <w:spacing w:line="480" w:lineRule="auto"/>
        <w:ind w:hanging="720"/>
        <w:rPr>
          <w:rFonts w:cs="Times New Roman"/>
          <w:szCs w:val="24"/>
        </w:rPr>
      </w:pPr>
      <w:r w:rsidRPr="004915C5">
        <w:rPr>
          <w:rFonts w:cs="Times New Roman"/>
          <w:szCs w:val="24"/>
        </w:rPr>
        <w:t>All other motions, requests for entry of specific findings of fact, conclusions of law, and</w:t>
      </w:r>
      <w:r w:rsidR="004915C5" w:rsidRPr="004915C5">
        <w:rPr>
          <w:rFonts w:cs="Times New Roman"/>
          <w:szCs w:val="24"/>
        </w:rPr>
        <w:t xml:space="preserve"> </w:t>
      </w:r>
      <w:r w:rsidRPr="004915C5">
        <w:rPr>
          <w:rFonts w:cs="Times New Roman"/>
          <w:szCs w:val="24"/>
        </w:rPr>
        <w:t>ordering paragraphs, and any other requests for general or specific relief, if not expressly</w:t>
      </w:r>
      <w:r w:rsidR="004915C5">
        <w:rPr>
          <w:rFonts w:cs="Times New Roman"/>
          <w:szCs w:val="24"/>
        </w:rPr>
        <w:t xml:space="preserve"> </w:t>
      </w:r>
      <w:r w:rsidRPr="004915C5">
        <w:rPr>
          <w:rFonts w:cs="Times New Roman"/>
          <w:szCs w:val="24"/>
        </w:rPr>
        <w:t>granted are denied.</w:t>
      </w:r>
    </w:p>
    <w:p w14:paraId="7BD31F58" w14:textId="77777777" w:rsidR="00BD0A9F" w:rsidRDefault="00BD0A9F" w:rsidP="00BD0A9F">
      <w:pPr>
        <w:autoSpaceDE w:val="0"/>
        <w:autoSpaceDN w:val="0"/>
        <w:adjustRightInd w:val="0"/>
        <w:spacing w:line="480" w:lineRule="auto"/>
        <w:rPr>
          <w:rFonts w:cs="Times New Roman"/>
          <w:szCs w:val="24"/>
        </w:rPr>
      </w:pPr>
    </w:p>
    <w:p w14:paraId="6D667232" w14:textId="0863D78A" w:rsidR="00BD0A9F" w:rsidRDefault="00BD0A9F" w:rsidP="00BD0A9F">
      <w:pPr>
        <w:autoSpaceDE w:val="0"/>
        <w:autoSpaceDN w:val="0"/>
        <w:adjustRightInd w:val="0"/>
        <w:spacing w:line="480" w:lineRule="auto"/>
        <w:ind w:firstLine="720"/>
        <w:rPr>
          <w:rFonts w:cs="Times New Roman"/>
          <w:szCs w:val="24"/>
        </w:rPr>
      </w:pPr>
      <w:r>
        <w:rPr>
          <w:rFonts w:cs="Times New Roman"/>
          <w:szCs w:val="24"/>
        </w:rPr>
        <w:t xml:space="preserve">SIGNED </w:t>
      </w:r>
      <w:r w:rsidR="0043044E">
        <w:rPr>
          <w:rFonts w:cs="Times New Roman"/>
          <w:szCs w:val="24"/>
        </w:rPr>
        <w:t xml:space="preserve">at Austin, Texas, </w:t>
      </w:r>
      <w:r>
        <w:rPr>
          <w:rFonts w:cs="Times New Roman"/>
          <w:szCs w:val="24"/>
        </w:rPr>
        <w:t xml:space="preserve">the ____ </w:t>
      </w:r>
      <w:r w:rsidRPr="00BD0A9F">
        <w:rPr>
          <w:rFonts w:cs="Times New Roman"/>
          <w:szCs w:val="24"/>
        </w:rPr>
        <w:t xml:space="preserve">day of </w:t>
      </w:r>
      <w:r w:rsidR="00A9603F">
        <w:rPr>
          <w:rFonts w:cs="Times New Roman"/>
          <w:szCs w:val="24"/>
        </w:rPr>
        <w:t>February</w:t>
      </w:r>
      <w:r>
        <w:rPr>
          <w:rFonts w:cs="Times New Roman"/>
          <w:szCs w:val="24"/>
        </w:rPr>
        <w:t>, 201</w:t>
      </w:r>
      <w:r w:rsidR="00A9603F">
        <w:rPr>
          <w:rFonts w:cs="Times New Roman"/>
          <w:szCs w:val="24"/>
        </w:rPr>
        <w:t>9</w:t>
      </w:r>
      <w:r w:rsidRPr="00BD0A9F">
        <w:rPr>
          <w:rFonts w:cs="Times New Roman"/>
          <w:szCs w:val="24"/>
        </w:rPr>
        <w:t>.</w:t>
      </w:r>
    </w:p>
    <w:p w14:paraId="0E37D27E" w14:textId="77777777" w:rsidR="0043044E" w:rsidRPr="00BD0A9F" w:rsidRDefault="0043044E" w:rsidP="00BD0A9F">
      <w:pPr>
        <w:autoSpaceDE w:val="0"/>
        <w:autoSpaceDN w:val="0"/>
        <w:adjustRightInd w:val="0"/>
        <w:spacing w:line="480" w:lineRule="auto"/>
        <w:ind w:firstLine="720"/>
        <w:rPr>
          <w:rFonts w:cs="Times New Roman"/>
          <w:szCs w:val="24"/>
        </w:rPr>
      </w:pPr>
    </w:p>
    <w:p w14:paraId="0E92D5A9" w14:textId="77777777" w:rsidR="00BD0A9F" w:rsidRPr="00BD0A9F" w:rsidRDefault="00BD0A9F" w:rsidP="00BD0A9F">
      <w:pPr>
        <w:autoSpaceDE w:val="0"/>
        <w:autoSpaceDN w:val="0"/>
        <w:adjustRightInd w:val="0"/>
        <w:spacing w:line="480" w:lineRule="auto"/>
        <w:ind w:left="3600"/>
        <w:rPr>
          <w:rFonts w:cs="Times New Roman"/>
          <w:szCs w:val="24"/>
        </w:rPr>
      </w:pPr>
      <w:r w:rsidRPr="00BD0A9F">
        <w:rPr>
          <w:rFonts w:cs="Times New Roman"/>
          <w:szCs w:val="24"/>
        </w:rPr>
        <w:t>PUBLIC UTILITY COMMISSION OF TEXAS</w:t>
      </w:r>
    </w:p>
    <w:p w14:paraId="321B7C7A" w14:textId="77777777" w:rsidR="00BD0A9F" w:rsidRDefault="00BD0A9F" w:rsidP="00BD0A9F">
      <w:pPr>
        <w:autoSpaceDE w:val="0"/>
        <w:autoSpaceDN w:val="0"/>
        <w:adjustRightInd w:val="0"/>
        <w:ind w:left="2880" w:firstLine="720"/>
        <w:rPr>
          <w:rFonts w:cs="Times New Roman"/>
          <w:szCs w:val="24"/>
        </w:rPr>
      </w:pPr>
    </w:p>
    <w:p w14:paraId="6383241E" w14:textId="77777777" w:rsidR="00BD0A9F" w:rsidRDefault="00BD0A9F" w:rsidP="00BD0A9F">
      <w:pPr>
        <w:autoSpaceDE w:val="0"/>
        <w:autoSpaceDN w:val="0"/>
        <w:adjustRightInd w:val="0"/>
        <w:ind w:left="2880" w:firstLine="720"/>
        <w:rPr>
          <w:rFonts w:cs="Times New Roman"/>
          <w:szCs w:val="24"/>
        </w:rPr>
      </w:pPr>
      <w:r>
        <w:rPr>
          <w:rFonts w:cs="Times New Roman"/>
          <w:szCs w:val="24"/>
        </w:rPr>
        <w:t>__________________________________</w:t>
      </w:r>
      <w:r w:rsidR="00264BAF">
        <w:rPr>
          <w:rFonts w:cs="Times New Roman"/>
          <w:szCs w:val="24"/>
        </w:rPr>
        <w:t>_________</w:t>
      </w:r>
      <w:r>
        <w:rPr>
          <w:rFonts w:cs="Times New Roman"/>
          <w:szCs w:val="24"/>
        </w:rPr>
        <w:t>_____</w:t>
      </w:r>
    </w:p>
    <w:p w14:paraId="390D7DE6" w14:textId="77777777" w:rsidR="00BD0A9F" w:rsidRDefault="00BD0A9F" w:rsidP="00BD0A9F">
      <w:pPr>
        <w:autoSpaceDE w:val="0"/>
        <w:autoSpaceDN w:val="0"/>
        <w:adjustRightInd w:val="0"/>
        <w:ind w:left="2880" w:firstLine="720"/>
        <w:rPr>
          <w:rFonts w:cs="Times New Roman"/>
          <w:szCs w:val="24"/>
        </w:rPr>
      </w:pPr>
      <w:r>
        <w:rPr>
          <w:rFonts w:cs="Times New Roman"/>
          <w:szCs w:val="24"/>
        </w:rPr>
        <w:t>DeAnn T. Walker</w:t>
      </w:r>
      <w:r w:rsidRPr="00BD0A9F">
        <w:rPr>
          <w:rFonts w:cs="Times New Roman"/>
          <w:szCs w:val="24"/>
        </w:rPr>
        <w:t xml:space="preserve">, </w:t>
      </w:r>
      <w:r>
        <w:rPr>
          <w:rFonts w:cs="Times New Roman"/>
          <w:szCs w:val="24"/>
        </w:rPr>
        <w:t>Chairman</w:t>
      </w:r>
    </w:p>
    <w:p w14:paraId="55A3A2B7" w14:textId="77777777" w:rsidR="00BD0A9F" w:rsidRDefault="00BD0A9F" w:rsidP="00BD0A9F">
      <w:pPr>
        <w:autoSpaceDE w:val="0"/>
        <w:autoSpaceDN w:val="0"/>
        <w:adjustRightInd w:val="0"/>
        <w:ind w:left="2880" w:firstLine="720"/>
        <w:rPr>
          <w:rFonts w:cs="Times New Roman"/>
          <w:szCs w:val="24"/>
        </w:rPr>
      </w:pPr>
    </w:p>
    <w:p w14:paraId="01A62F3C" w14:textId="77777777" w:rsidR="00BD0A9F" w:rsidRDefault="00BD0A9F" w:rsidP="00BD0A9F">
      <w:pPr>
        <w:autoSpaceDE w:val="0"/>
        <w:autoSpaceDN w:val="0"/>
        <w:adjustRightInd w:val="0"/>
        <w:ind w:left="2880" w:firstLine="720"/>
        <w:rPr>
          <w:rFonts w:cs="Times New Roman"/>
          <w:szCs w:val="24"/>
        </w:rPr>
      </w:pPr>
    </w:p>
    <w:p w14:paraId="5F6EC1B9" w14:textId="77777777" w:rsidR="00BD0A9F" w:rsidRDefault="00BD0A9F" w:rsidP="00264BAF">
      <w:pPr>
        <w:autoSpaceDE w:val="0"/>
        <w:autoSpaceDN w:val="0"/>
        <w:adjustRightInd w:val="0"/>
        <w:ind w:left="2880" w:firstLine="720"/>
        <w:rPr>
          <w:rFonts w:cs="Times New Roman"/>
          <w:szCs w:val="24"/>
        </w:rPr>
      </w:pPr>
      <w:r>
        <w:rPr>
          <w:rFonts w:cs="Times New Roman"/>
          <w:szCs w:val="24"/>
        </w:rPr>
        <w:t>_______________________________________</w:t>
      </w:r>
      <w:r w:rsidR="00264BAF">
        <w:rPr>
          <w:rFonts w:cs="Times New Roman"/>
          <w:szCs w:val="24"/>
        </w:rPr>
        <w:t>_________</w:t>
      </w:r>
    </w:p>
    <w:p w14:paraId="370AC780" w14:textId="77777777" w:rsidR="00BD0A9F" w:rsidRDefault="00BD0A9F" w:rsidP="00BD0A9F">
      <w:pPr>
        <w:autoSpaceDE w:val="0"/>
        <w:autoSpaceDN w:val="0"/>
        <w:adjustRightInd w:val="0"/>
        <w:ind w:left="2880" w:firstLine="720"/>
        <w:rPr>
          <w:rFonts w:cs="Times New Roman"/>
          <w:szCs w:val="24"/>
        </w:rPr>
      </w:pPr>
      <w:r>
        <w:rPr>
          <w:rFonts w:cs="Times New Roman"/>
          <w:szCs w:val="24"/>
        </w:rPr>
        <w:t>Arthur C. D’Andrea, Commissioner</w:t>
      </w:r>
    </w:p>
    <w:p w14:paraId="33945104" w14:textId="77777777" w:rsidR="00376834" w:rsidRDefault="00376834" w:rsidP="00BD0A9F">
      <w:pPr>
        <w:autoSpaceDE w:val="0"/>
        <w:autoSpaceDN w:val="0"/>
        <w:adjustRightInd w:val="0"/>
        <w:ind w:left="2880" w:firstLine="720"/>
        <w:rPr>
          <w:rFonts w:cs="Times New Roman"/>
          <w:szCs w:val="24"/>
        </w:rPr>
      </w:pPr>
    </w:p>
    <w:p w14:paraId="5BF4E649" w14:textId="77777777" w:rsidR="00376834" w:rsidRDefault="00376834" w:rsidP="00BD0A9F">
      <w:pPr>
        <w:autoSpaceDE w:val="0"/>
        <w:autoSpaceDN w:val="0"/>
        <w:adjustRightInd w:val="0"/>
        <w:ind w:left="2880" w:firstLine="720"/>
        <w:rPr>
          <w:rFonts w:cs="Times New Roman"/>
          <w:szCs w:val="24"/>
        </w:rPr>
      </w:pPr>
    </w:p>
    <w:p w14:paraId="5D336492" w14:textId="77777777" w:rsidR="00376834" w:rsidRDefault="00376834" w:rsidP="00376834">
      <w:pPr>
        <w:autoSpaceDE w:val="0"/>
        <w:autoSpaceDN w:val="0"/>
        <w:adjustRightInd w:val="0"/>
        <w:ind w:left="2880" w:firstLine="720"/>
        <w:rPr>
          <w:rFonts w:cs="Times New Roman"/>
          <w:szCs w:val="24"/>
        </w:rPr>
      </w:pPr>
      <w:r>
        <w:rPr>
          <w:rFonts w:cs="Times New Roman"/>
          <w:szCs w:val="24"/>
        </w:rPr>
        <w:t>_______________________________________________</w:t>
      </w:r>
    </w:p>
    <w:p w14:paraId="17A61E04" w14:textId="77777777" w:rsidR="00376834" w:rsidRPr="00BD0A9F" w:rsidRDefault="00376834" w:rsidP="00376834">
      <w:pPr>
        <w:autoSpaceDE w:val="0"/>
        <w:autoSpaceDN w:val="0"/>
        <w:adjustRightInd w:val="0"/>
        <w:ind w:left="2880" w:firstLine="720"/>
        <w:rPr>
          <w:rFonts w:cs="Times New Roman"/>
          <w:szCs w:val="24"/>
        </w:rPr>
      </w:pPr>
      <w:r>
        <w:rPr>
          <w:rFonts w:cs="Times New Roman"/>
          <w:szCs w:val="24"/>
        </w:rPr>
        <w:t>Shelly Botkin, Commissioner</w:t>
      </w:r>
    </w:p>
    <w:p w14:paraId="5ADA4549" w14:textId="77777777" w:rsidR="00376834" w:rsidRPr="00BD0A9F" w:rsidRDefault="00376834" w:rsidP="00BD0A9F">
      <w:pPr>
        <w:autoSpaceDE w:val="0"/>
        <w:autoSpaceDN w:val="0"/>
        <w:adjustRightInd w:val="0"/>
        <w:ind w:left="2880" w:firstLine="720"/>
        <w:rPr>
          <w:rFonts w:cs="Times New Roman"/>
          <w:szCs w:val="24"/>
        </w:rPr>
      </w:pPr>
      <w:bookmarkStart w:id="0" w:name="_GoBack"/>
      <w:bookmarkEnd w:id="0"/>
    </w:p>
    <w:sectPr w:rsidR="00376834" w:rsidRPr="00BD0A9F" w:rsidSect="00CA700E">
      <w:headerReference w:type="default" r:id="rId8"/>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D1637A" w16cid:durableId="1FE6D923"/>
  <w16cid:commentId w16cid:paraId="61EFE8FA" w16cid:durableId="1FE6E138"/>
  <w16cid:commentId w16cid:paraId="03E21305" w16cid:durableId="1FE6D924"/>
  <w16cid:commentId w16cid:paraId="134F1393" w16cid:durableId="1FE6E214"/>
  <w16cid:commentId w16cid:paraId="08D7EEA3" w16cid:durableId="1FE6D925"/>
  <w16cid:commentId w16cid:paraId="3EBB6509" w16cid:durableId="1FE6E38D"/>
  <w16cid:commentId w16cid:paraId="4A5A8972" w16cid:durableId="1FE6E710"/>
  <w16cid:commentId w16cid:paraId="5F017098" w16cid:durableId="1FE6E73B"/>
  <w16cid:commentId w16cid:paraId="04FBDE98" w16cid:durableId="1FE70C08"/>
  <w16cid:commentId w16cid:paraId="1300562D" w16cid:durableId="1FE6D926"/>
  <w16cid:commentId w16cid:paraId="76859950" w16cid:durableId="1FE70D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A8114" w14:textId="77777777" w:rsidR="0059421C" w:rsidRDefault="0059421C" w:rsidP="00CA700E">
      <w:r>
        <w:separator/>
      </w:r>
    </w:p>
  </w:endnote>
  <w:endnote w:type="continuationSeparator" w:id="0">
    <w:p w14:paraId="6A9076B6" w14:textId="77777777" w:rsidR="0059421C" w:rsidRDefault="0059421C" w:rsidP="00CA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910C7" w14:textId="77777777" w:rsidR="0059421C" w:rsidRDefault="0059421C" w:rsidP="00CA700E">
      <w:r>
        <w:separator/>
      </w:r>
    </w:p>
  </w:footnote>
  <w:footnote w:type="continuationSeparator" w:id="0">
    <w:p w14:paraId="5243EDA2" w14:textId="77777777" w:rsidR="0059421C" w:rsidRDefault="0059421C" w:rsidP="00CA700E">
      <w:r>
        <w:continuationSeparator/>
      </w:r>
    </w:p>
  </w:footnote>
  <w:footnote w:id="1">
    <w:p w14:paraId="5AB75A3A" w14:textId="3CE6B546" w:rsidR="009F108C" w:rsidRDefault="009F108C" w:rsidP="008171FB">
      <w:pPr>
        <w:pStyle w:val="FootnoteText"/>
        <w:ind w:firstLine="720"/>
      </w:pPr>
      <w:r>
        <w:rPr>
          <w:rStyle w:val="FootnoteReference"/>
        </w:rPr>
        <w:footnoteRef/>
      </w:r>
      <w:r>
        <w:t xml:space="preserve"> The Intervenor Ratepayers</w:t>
      </w:r>
      <w:r w:rsidR="007815D9">
        <w:t>,</w:t>
      </w:r>
      <w:r>
        <w:t xml:space="preserve"> represented by Ms. Carter</w:t>
      </w:r>
      <w:r w:rsidR="007815D9">
        <w:t>,</w:t>
      </w:r>
      <w:r>
        <w:t xml:space="preserve"> who were granted party status include Southchase Rentals, LLC, Tom Keith, Tall Oaks Properties, and Kent Rental Properties.  SOAH Order No. 4 (AIS Item No. 1501) (Feb. 3, 2017). </w:t>
      </w:r>
    </w:p>
  </w:footnote>
  <w:footnote w:id="2">
    <w:p w14:paraId="3D09F400" w14:textId="77777777" w:rsidR="00575E03" w:rsidRDefault="00575E03" w:rsidP="008171FB">
      <w:pPr>
        <w:pStyle w:val="FootnoteText"/>
        <w:ind w:firstLine="720"/>
      </w:pPr>
      <w:r>
        <w:rPr>
          <w:rStyle w:val="FootnoteReference"/>
        </w:rPr>
        <w:footnoteRef/>
      </w:r>
      <w:r>
        <w:t xml:space="preserve"> TWC </w:t>
      </w:r>
      <w:r>
        <w:rPr>
          <w:rFonts w:cs="Times New Roman"/>
        </w:rPr>
        <w:t>§</w:t>
      </w:r>
      <w:r>
        <w:t xml:space="preserve"> 13.002(4-b).  Liberty Tall Timbers and Liberty Woodmark only provide retail sewer utility service</w:t>
      </w:r>
      <w:r w:rsidR="00FB5DAD">
        <w:t xml:space="preserve"> and do not provide retail water utility service</w:t>
      </w:r>
      <w:r>
        <w:t>.</w:t>
      </w:r>
    </w:p>
  </w:footnote>
  <w:footnote w:id="3">
    <w:p w14:paraId="41E2761F" w14:textId="77777777" w:rsidR="00575E03" w:rsidRDefault="00575E03" w:rsidP="008171FB">
      <w:pPr>
        <w:pStyle w:val="FootnoteText"/>
        <w:ind w:firstLine="720"/>
      </w:pPr>
      <w:r>
        <w:rPr>
          <w:rStyle w:val="FootnoteReference"/>
        </w:rPr>
        <w:footnoteRef/>
      </w:r>
      <w:r>
        <w:t xml:space="preserve"> Act to Provide for Reconciliation Pursuant to Titles II and V of the Concurrent Resolution on the Budget for Fiscal Year 2018, Pub. L. No. 115-97, 131 Stat. 2054 (Dec. 22, 2017).</w:t>
      </w:r>
    </w:p>
  </w:footnote>
  <w:footnote w:id="4">
    <w:p w14:paraId="27DA601A" w14:textId="77777777" w:rsidR="008F2B52" w:rsidRPr="008F2B52" w:rsidRDefault="008F2B52" w:rsidP="008171FB">
      <w:pPr>
        <w:pStyle w:val="FootnoteText"/>
        <w:ind w:firstLine="720"/>
      </w:pPr>
      <w:r>
        <w:rPr>
          <w:rStyle w:val="FootnoteReference"/>
        </w:rPr>
        <w:footnoteRef/>
      </w:r>
      <w:r>
        <w:t xml:space="preserve"> </w:t>
      </w:r>
      <w:r>
        <w:rPr>
          <w:i/>
        </w:rPr>
        <w:t xml:space="preserve">See </w:t>
      </w:r>
      <w:r>
        <w:t>Order on Appeal of SOAH Order No. 2 (Mar. 14, 2017).</w:t>
      </w:r>
    </w:p>
  </w:footnote>
  <w:footnote w:id="5">
    <w:p w14:paraId="7FA57AF1" w14:textId="77777777" w:rsidR="007B1B97" w:rsidRDefault="007B1B97">
      <w:pPr>
        <w:pStyle w:val="FootnoteText"/>
      </w:pPr>
      <w:r>
        <w:rPr>
          <w:rStyle w:val="FootnoteReference"/>
        </w:rPr>
        <w:footnoteRef/>
      </w:r>
      <w:r>
        <w:t xml:space="preserve"> </w:t>
      </w:r>
      <w:r>
        <w:rPr>
          <w:rFonts w:cs="Times New Roman"/>
          <w:szCs w:val="24"/>
        </w:rPr>
        <w:t xml:space="preserve">However, per the Addendum, the Signatories agreed not to implement volumetric rates.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8336367"/>
      <w:docPartObj>
        <w:docPartGallery w:val="Page Numbers (Top of Page)"/>
        <w:docPartUnique/>
      </w:docPartObj>
    </w:sdtPr>
    <w:sdtEndPr>
      <w:rPr>
        <w:sz w:val="22"/>
      </w:rPr>
    </w:sdtEndPr>
    <w:sdtContent>
      <w:p w14:paraId="4AFD6543" w14:textId="77777777" w:rsidR="00CA700E" w:rsidRPr="00CA700E" w:rsidRDefault="00CA700E" w:rsidP="00CA700E">
        <w:pPr>
          <w:pStyle w:val="Header"/>
          <w:jc w:val="left"/>
          <w:rPr>
            <w:sz w:val="22"/>
          </w:rPr>
        </w:pPr>
        <w:r w:rsidRPr="00CA700E">
          <w:rPr>
            <w:b/>
            <w:sz w:val="22"/>
          </w:rPr>
          <w:t>PUC D</w:t>
        </w:r>
        <w:r>
          <w:rPr>
            <w:b/>
            <w:sz w:val="22"/>
          </w:rPr>
          <w:t>ocket No. 4</w:t>
        </w:r>
        <w:r w:rsidRPr="00CA700E">
          <w:rPr>
            <w:b/>
            <w:sz w:val="22"/>
          </w:rPr>
          <w:t>6256</w:t>
        </w:r>
        <w:r w:rsidRPr="00CA700E">
          <w:rPr>
            <w:b/>
            <w:sz w:val="22"/>
          </w:rPr>
          <w:tab/>
        </w:r>
        <w:r w:rsidR="002D0D1C">
          <w:rPr>
            <w:b/>
            <w:sz w:val="22"/>
          </w:rPr>
          <w:t xml:space="preserve">Proposed Final </w:t>
        </w:r>
        <w:r>
          <w:rPr>
            <w:b/>
            <w:sz w:val="22"/>
          </w:rPr>
          <w:t>Order</w:t>
        </w:r>
        <w:r>
          <w:rPr>
            <w:b/>
            <w:sz w:val="22"/>
          </w:rPr>
          <w:tab/>
        </w:r>
        <w:r w:rsidRPr="00CA700E">
          <w:rPr>
            <w:sz w:val="22"/>
          </w:rPr>
          <w:t xml:space="preserve">Page </w:t>
        </w:r>
        <w:r w:rsidRPr="00CA700E">
          <w:rPr>
            <w:b/>
            <w:bCs/>
            <w:sz w:val="22"/>
          </w:rPr>
          <w:fldChar w:fldCharType="begin"/>
        </w:r>
        <w:r w:rsidRPr="00CA700E">
          <w:rPr>
            <w:b/>
            <w:bCs/>
            <w:sz w:val="22"/>
          </w:rPr>
          <w:instrText xml:space="preserve"> PAGE </w:instrText>
        </w:r>
        <w:r w:rsidRPr="00CA700E">
          <w:rPr>
            <w:b/>
            <w:bCs/>
            <w:sz w:val="22"/>
          </w:rPr>
          <w:fldChar w:fldCharType="separate"/>
        </w:r>
        <w:r w:rsidR="00C53BD8">
          <w:rPr>
            <w:b/>
            <w:bCs/>
            <w:noProof/>
            <w:sz w:val="22"/>
          </w:rPr>
          <w:t>19</w:t>
        </w:r>
        <w:r w:rsidRPr="00CA700E">
          <w:rPr>
            <w:b/>
            <w:bCs/>
            <w:sz w:val="22"/>
          </w:rPr>
          <w:fldChar w:fldCharType="end"/>
        </w:r>
        <w:r w:rsidRPr="00CA700E">
          <w:rPr>
            <w:sz w:val="22"/>
          </w:rPr>
          <w:t xml:space="preserve"> of </w:t>
        </w:r>
        <w:r w:rsidRPr="00CA700E">
          <w:rPr>
            <w:b/>
            <w:bCs/>
            <w:sz w:val="22"/>
          </w:rPr>
          <w:fldChar w:fldCharType="begin"/>
        </w:r>
        <w:r w:rsidRPr="00CA700E">
          <w:rPr>
            <w:b/>
            <w:bCs/>
            <w:sz w:val="22"/>
          </w:rPr>
          <w:instrText xml:space="preserve"> NUMPAGES  </w:instrText>
        </w:r>
        <w:r w:rsidRPr="00CA700E">
          <w:rPr>
            <w:b/>
            <w:bCs/>
            <w:sz w:val="22"/>
          </w:rPr>
          <w:fldChar w:fldCharType="separate"/>
        </w:r>
        <w:r w:rsidR="00C53BD8">
          <w:rPr>
            <w:b/>
            <w:bCs/>
            <w:noProof/>
            <w:sz w:val="22"/>
          </w:rPr>
          <w:t>19</w:t>
        </w:r>
        <w:r w:rsidRPr="00CA700E">
          <w:rPr>
            <w:b/>
            <w:bCs/>
            <w:sz w:val="22"/>
          </w:rPr>
          <w:fldChar w:fldCharType="end"/>
        </w:r>
      </w:p>
      <w:p w14:paraId="762288BD" w14:textId="77777777" w:rsidR="00CA700E" w:rsidRPr="00CA700E" w:rsidRDefault="00CA700E" w:rsidP="00CA700E">
        <w:pPr>
          <w:pStyle w:val="Header"/>
          <w:rPr>
            <w:sz w:val="22"/>
          </w:rPr>
        </w:pPr>
        <w:r w:rsidRPr="00CA700E">
          <w:rPr>
            <w:b/>
            <w:sz w:val="22"/>
          </w:rPr>
          <w:t>SOAH D</w:t>
        </w:r>
        <w:r>
          <w:rPr>
            <w:b/>
            <w:sz w:val="22"/>
          </w:rPr>
          <w:t xml:space="preserve">ocket No. </w:t>
        </w:r>
        <w:r w:rsidRPr="00CA700E">
          <w:rPr>
            <w:b/>
            <w:sz w:val="22"/>
          </w:rPr>
          <w:t xml:space="preserve">473-17-1641.WS </w:t>
        </w:r>
      </w:p>
    </w:sdtContent>
  </w:sdt>
  <w:p w14:paraId="25E4ACDA" w14:textId="77777777" w:rsidR="00CA700E" w:rsidRDefault="00CA70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46B3F"/>
    <w:multiLevelType w:val="hybridMultilevel"/>
    <w:tmpl w:val="3F6EA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FA2904"/>
    <w:multiLevelType w:val="hybridMultilevel"/>
    <w:tmpl w:val="72B0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DA5FD2"/>
    <w:multiLevelType w:val="hybridMultilevel"/>
    <w:tmpl w:val="8EBC5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480A53"/>
    <w:multiLevelType w:val="hybridMultilevel"/>
    <w:tmpl w:val="BA70E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754BE1"/>
    <w:multiLevelType w:val="hybridMultilevel"/>
    <w:tmpl w:val="6714D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BE6B7C"/>
    <w:multiLevelType w:val="hybridMultilevel"/>
    <w:tmpl w:val="626C1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25F16"/>
    <w:multiLevelType w:val="hybridMultilevel"/>
    <w:tmpl w:val="67E05BB0"/>
    <w:lvl w:ilvl="0" w:tplc="C46AA8EE">
      <w:start w:val="10"/>
      <w:numFmt w:val="decimal"/>
      <w:lvlText w:val="%1."/>
      <w:lvlJc w:val="left"/>
      <w:pPr>
        <w:ind w:left="1080" w:hanging="72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024AC6"/>
    <w:multiLevelType w:val="hybridMultilevel"/>
    <w:tmpl w:val="B5761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7"/>
  </w:num>
  <w:num w:numId="5">
    <w:abstractNumId w:val="1"/>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5B7"/>
    <w:rsid w:val="00022221"/>
    <w:rsid w:val="00027E7C"/>
    <w:rsid w:val="000406A9"/>
    <w:rsid w:val="00073757"/>
    <w:rsid w:val="00073FE6"/>
    <w:rsid w:val="00086DBB"/>
    <w:rsid w:val="00091B27"/>
    <w:rsid w:val="000A549E"/>
    <w:rsid w:val="000B43E6"/>
    <w:rsid w:val="000B5E7D"/>
    <w:rsid w:val="000C2EF2"/>
    <w:rsid w:val="000F4FEE"/>
    <w:rsid w:val="001055A7"/>
    <w:rsid w:val="00132C04"/>
    <w:rsid w:val="001332B1"/>
    <w:rsid w:val="00136AA6"/>
    <w:rsid w:val="0016370D"/>
    <w:rsid w:val="001659C6"/>
    <w:rsid w:val="00166832"/>
    <w:rsid w:val="001700B5"/>
    <w:rsid w:val="001708C5"/>
    <w:rsid w:val="00175409"/>
    <w:rsid w:val="00176D0E"/>
    <w:rsid w:val="001805BD"/>
    <w:rsid w:val="00181823"/>
    <w:rsid w:val="001860C1"/>
    <w:rsid w:val="001B113E"/>
    <w:rsid w:val="001D72F3"/>
    <w:rsid w:val="001E158C"/>
    <w:rsid w:val="001F0405"/>
    <w:rsid w:val="001F276F"/>
    <w:rsid w:val="0020129A"/>
    <w:rsid w:val="00221510"/>
    <w:rsid w:val="00224945"/>
    <w:rsid w:val="00235CC7"/>
    <w:rsid w:val="00244C9C"/>
    <w:rsid w:val="002462EC"/>
    <w:rsid w:val="00250EA3"/>
    <w:rsid w:val="00254DFE"/>
    <w:rsid w:val="00264BAF"/>
    <w:rsid w:val="002807F8"/>
    <w:rsid w:val="00284418"/>
    <w:rsid w:val="0028627D"/>
    <w:rsid w:val="002A090A"/>
    <w:rsid w:val="002A61CD"/>
    <w:rsid w:val="002B3E47"/>
    <w:rsid w:val="002B458E"/>
    <w:rsid w:val="002B6BB8"/>
    <w:rsid w:val="002D0D1C"/>
    <w:rsid w:val="002E16F4"/>
    <w:rsid w:val="002F5E0C"/>
    <w:rsid w:val="00301F0A"/>
    <w:rsid w:val="00320040"/>
    <w:rsid w:val="00322DC9"/>
    <w:rsid w:val="00341077"/>
    <w:rsid w:val="00351B92"/>
    <w:rsid w:val="00352746"/>
    <w:rsid w:val="00353435"/>
    <w:rsid w:val="00367EB8"/>
    <w:rsid w:val="00376834"/>
    <w:rsid w:val="00380525"/>
    <w:rsid w:val="00387FC4"/>
    <w:rsid w:val="00390E2E"/>
    <w:rsid w:val="00395A3F"/>
    <w:rsid w:val="003A47B3"/>
    <w:rsid w:val="003C328D"/>
    <w:rsid w:val="003C3433"/>
    <w:rsid w:val="003E279E"/>
    <w:rsid w:val="003E46BB"/>
    <w:rsid w:val="003F3D46"/>
    <w:rsid w:val="003F6237"/>
    <w:rsid w:val="00402CA5"/>
    <w:rsid w:val="00411EE2"/>
    <w:rsid w:val="0041695A"/>
    <w:rsid w:val="004239EC"/>
    <w:rsid w:val="0043044E"/>
    <w:rsid w:val="004375C5"/>
    <w:rsid w:val="00444C2E"/>
    <w:rsid w:val="00444C56"/>
    <w:rsid w:val="00446126"/>
    <w:rsid w:val="004500D0"/>
    <w:rsid w:val="004511AB"/>
    <w:rsid w:val="00455C5B"/>
    <w:rsid w:val="0045762C"/>
    <w:rsid w:val="00467A73"/>
    <w:rsid w:val="00471584"/>
    <w:rsid w:val="004740A5"/>
    <w:rsid w:val="004915C5"/>
    <w:rsid w:val="00495764"/>
    <w:rsid w:val="004A47B9"/>
    <w:rsid w:val="004B2C40"/>
    <w:rsid w:val="004B7044"/>
    <w:rsid w:val="004C052D"/>
    <w:rsid w:val="004F1819"/>
    <w:rsid w:val="004F75B7"/>
    <w:rsid w:val="00500486"/>
    <w:rsid w:val="005070D0"/>
    <w:rsid w:val="00530994"/>
    <w:rsid w:val="005432B8"/>
    <w:rsid w:val="005470F9"/>
    <w:rsid w:val="00554353"/>
    <w:rsid w:val="00567FC8"/>
    <w:rsid w:val="0057036F"/>
    <w:rsid w:val="0057160C"/>
    <w:rsid w:val="00575E03"/>
    <w:rsid w:val="005913E2"/>
    <w:rsid w:val="005919F6"/>
    <w:rsid w:val="00593F23"/>
    <w:rsid w:val="0059421C"/>
    <w:rsid w:val="00595E7A"/>
    <w:rsid w:val="005A5EFC"/>
    <w:rsid w:val="005B4E20"/>
    <w:rsid w:val="005C3751"/>
    <w:rsid w:val="005D0619"/>
    <w:rsid w:val="005D11A0"/>
    <w:rsid w:val="005D28ED"/>
    <w:rsid w:val="005D3E42"/>
    <w:rsid w:val="005E3EF2"/>
    <w:rsid w:val="005E7533"/>
    <w:rsid w:val="005F77B4"/>
    <w:rsid w:val="00635961"/>
    <w:rsid w:val="00680291"/>
    <w:rsid w:val="00685CDE"/>
    <w:rsid w:val="006C5C14"/>
    <w:rsid w:val="006F5C8A"/>
    <w:rsid w:val="006F6031"/>
    <w:rsid w:val="00713819"/>
    <w:rsid w:val="0072390D"/>
    <w:rsid w:val="00730C7B"/>
    <w:rsid w:val="00735E91"/>
    <w:rsid w:val="00740629"/>
    <w:rsid w:val="00752FEE"/>
    <w:rsid w:val="0077478D"/>
    <w:rsid w:val="00780A93"/>
    <w:rsid w:val="007815D9"/>
    <w:rsid w:val="00783844"/>
    <w:rsid w:val="00787814"/>
    <w:rsid w:val="00787A1B"/>
    <w:rsid w:val="0079376F"/>
    <w:rsid w:val="0079465F"/>
    <w:rsid w:val="007A3853"/>
    <w:rsid w:val="007A72AB"/>
    <w:rsid w:val="007B00FA"/>
    <w:rsid w:val="007B15A7"/>
    <w:rsid w:val="007B1B97"/>
    <w:rsid w:val="007B1F24"/>
    <w:rsid w:val="007C279C"/>
    <w:rsid w:val="007D770E"/>
    <w:rsid w:val="007D7E9C"/>
    <w:rsid w:val="007E08C1"/>
    <w:rsid w:val="007E4333"/>
    <w:rsid w:val="007E5246"/>
    <w:rsid w:val="007F305F"/>
    <w:rsid w:val="00812336"/>
    <w:rsid w:val="008171FB"/>
    <w:rsid w:val="008263CA"/>
    <w:rsid w:val="00845286"/>
    <w:rsid w:val="0085481E"/>
    <w:rsid w:val="00862D2B"/>
    <w:rsid w:val="00864C6D"/>
    <w:rsid w:val="00866802"/>
    <w:rsid w:val="008724E0"/>
    <w:rsid w:val="008A468C"/>
    <w:rsid w:val="008A48AE"/>
    <w:rsid w:val="008A4995"/>
    <w:rsid w:val="008B7110"/>
    <w:rsid w:val="008C7D69"/>
    <w:rsid w:val="008F2B52"/>
    <w:rsid w:val="008F3BF5"/>
    <w:rsid w:val="00902456"/>
    <w:rsid w:val="00912FCF"/>
    <w:rsid w:val="00933568"/>
    <w:rsid w:val="00952230"/>
    <w:rsid w:val="00952393"/>
    <w:rsid w:val="00953696"/>
    <w:rsid w:val="00966156"/>
    <w:rsid w:val="00984BD3"/>
    <w:rsid w:val="009857BE"/>
    <w:rsid w:val="009859C5"/>
    <w:rsid w:val="00994EDD"/>
    <w:rsid w:val="009A30B0"/>
    <w:rsid w:val="009C51B1"/>
    <w:rsid w:val="009C580C"/>
    <w:rsid w:val="009D61BE"/>
    <w:rsid w:val="009D6961"/>
    <w:rsid w:val="009F108C"/>
    <w:rsid w:val="009F4843"/>
    <w:rsid w:val="009F619A"/>
    <w:rsid w:val="00A00329"/>
    <w:rsid w:val="00A06F55"/>
    <w:rsid w:val="00A20544"/>
    <w:rsid w:val="00A41D52"/>
    <w:rsid w:val="00A4688B"/>
    <w:rsid w:val="00A71392"/>
    <w:rsid w:val="00A738DE"/>
    <w:rsid w:val="00A83A40"/>
    <w:rsid w:val="00A944C8"/>
    <w:rsid w:val="00A9603F"/>
    <w:rsid w:val="00AC3A13"/>
    <w:rsid w:val="00AE38DF"/>
    <w:rsid w:val="00AF73CA"/>
    <w:rsid w:val="00B020BD"/>
    <w:rsid w:val="00B14A4B"/>
    <w:rsid w:val="00B17125"/>
    <w:rsid w:val="00B33624"/>
    <w:rsid w:val="00B34A58"/>
    <w:rsid w:val="00B41A7A"/>
    <w:rsid w:val="00B53ABA"/>
    <w:rsid w:val="00B63B6F"/>
    <w:rsid w:val="00B65EED"/>
    <w:rsid w:val="00BA6A80"/>
    <w:rsid w:val="00BC0163"/>
    <w:rsid w:val="00BC16DD"/>
    <w:rsid w:val="00BD0A9F"/>
    <w:rsid w:val="00BE52E2"/>
    <w:rsid w:val="00BF11DB"/>
    <w:rsid w:val="00C10A94"/>
    <w:rsid w:val="00C20CBC"/>
    <w:rsid w:val="00C2106F"/>
    <w:rsid w:val="00C32229"/>
    <w:rsid w:val="00C4420A"/>
    <w:rsid w:val="00C53BD8"/>
    <w:rsid w:val="00C53EE5"/>
    <w:rsid w:val="00C54B27"/>
    <w:rsid w:val="00C67F7C"/>
    <w:rsid w:val="00C75A80"/>
    <w:rsid w:val="00C76DFF"/>
    <w:rsid w:val="00C8089C"/>
    <w:rsid w:val="00C81714"/>
    <w:rsid w:val="00C90ED6"/>
    <w:rsid w:val="00CA700E"/>
    <w:rsid w:val="00CC0F87"/>
    <w:rsid w:val="00CF34FF"/>
    <w:rsid w:val="00CF3502"/>
    <w:rsid w:val="00CF3F4D"/>
    <w:rsid w:val="00CF5824"/>
    <w:rsid w:val="00D04F70"/>
    <w:rsid w:val="00D1436D"/>
    <w:rsid w:val="00D14DFA"/>
    <w:rsid w:val="00D26882"/>
    <w:rsid w:val="00D411DB"/>
    <w:rsid w:val="00D51A51"/>
    <w:rsid w:val="00D56D5C"/>
    <w:rsid w:val="00D7032A"/>
    <w:rsid w:val="00D75A49"/>
    <w:rsid w:val="00D807AB"/>
    <w:rsid w:val="00D95DEA"/>
    <w:rsid w:val="00DB27DD"/>
    <w:rsid w:val="00DC14C2"/>
    <w:rsid w:val="00DC245A"/>
    <w:rsid w:val="00DD51D7"/>
    <w:rsid w:val="00DD6403"/>
    <w:rsid w:val="00DE0AA6"/>
    <w:rsid w:val="00DF1338"/>
    <w:rsid w:val="00E0016F"/>
    <w:rsid w:val="00E00A06"/>
    <w:rsid w:val="00E05330"/>
    <w:rsid w:val="00E17B54"/>
    <w:rsid w:val="00E231B0"/>
    <w:rsid w:val="00E25353"/>
    <w:rsid w:val="00E404F8"/>
    <w:rsid w:val="00E5437B"/>
    <w:rsid w:val="00E55E51"/>
    <w:rsid w:val="00E60689"/>
    <w:rsid w:val="00E62D87"/>
    <w:rsid w:val="00E7519D"/>
    <w:rsid w:val="00EA20E0"/>
    <w:rsid w:val="00EB14E8"/>
    <w:rsid w:val="00EB214B"/>
    <w:rsid w:val="00EB7A09"/>
    <w:rsid w:val="00EC39DA"/>
    <w:rsid w:val="00EC49F7"/>
    <w:rsid w:val="00EE211E"/>
    <w:rsid w:val="00EE49C9"/>
    <w:rsid w:val="00F1127A"/>
    <w:rsid w:val="00F17B8D"/>
    <w:rsid w:val="00F230B3"/>
    <w:rsid w:val="00F23F99"/>
    <w:rsid w:val="00F37CE7"/>
    <w:rsid w:val="00F4269F"/>
    <w:rsid w:val="00F4558F"/>
    <w:rsid w:val="00F47126"/>
    <w:rsid w:val="00F50C8B"/>
    <w:rsid w:val="00F56871"/>
    <w:rsid w:val="00F65311"/>
    <w:rsid w:val="00F668E0"/>
    <w:rsid w:val="00F66C07"/>
    <w:rsid w:val="00F72D27"/>
    <w:rsid w:val="00F73315"/>
    <w:rsid w:val="00F80E06"/>
    <w:rsid w:val="00F90F8D"/>
    <w:rsid w:val="00FA22E7"/>
    <w:rsid w:val="00FA6F6F"/>
    <w:rsid w:val="00FB53D6"/>
    <w:rsid w:val="00FB5DAD"/>
    <w:rsid w:val="00FC035B"/>
    <w:rsid w:val="00FC7F76"/>
    <w:rsid w:val="00FD2F4D"/>
    <w:rsid w:val="00FE21A4"/>
    <w:rsid w:val="00FE7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9A8B2D4"/>
  <w15:chartTrackingRefBased/>
  <w15:docId w15:val="{ECC11D6F-5372-4655-B846-A1C9904C7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5B7"/>
    <w:pPr>
      <w:spacing w:after="0" w:line="240" w:lineRule="auto"/>
      <w:jc w:val="both"/>
    </w:pPr>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75B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4FEE"/>
    <w:pPr>
      <w:ind w:left="720"/>
      <w:contextualSpacing/>
    </w:pPr>
  </w:style>
  <w:style w:type="paragraph" w:styleId="Header">
    <w:name w:val="header"/>
    <w:basedOn w:val="Normal"/>
    <w:link w:val="HeaderChar"/>
    <w:uiPriority w:val="99"/>
    <w:unhideWhenUsed/>
    <w:rsid w:val="00CA700E"/>
    <w:pPr>
      <w:tabs>
        <w:tab w:val="center" w:pos="4680"/>
        <w:tab w:val="right" w:pos="9360"/>
      </w:tabs>
    </w:pPr>
  </w:style>
  <w:style w:type="character" w:customStyle="1" w:styleId="HeaderChar">
    <w:name w:val="Header Char"/>
    <w:basedOn w:val="DefaultParagraphFont"/>
    <w:link w:val="Header"/>
    <w:uiPriority w:val="99"/>
    <w:rsid w:val="00CA700E"/>
    <w:rPr>
      <w:rFonts w:cstheme="minorBidi"/>
      <w:szCs w:val="22"/>
    </w:rPr>
  </w:style>
  <w:style w:type="paragraph" w:styleId="Footer">
    <w:name w:val="footer"/>
    <w:basedOn w:val="Normal"/>
    <w:link w:val="FooterChar"/>
    <w:uiPriority w:val="99"/>
    <w:unhideWhenUsed/>
    <w:rsid w:val="00CA700E"/>
    <w:pPr>
      <w:tabs>
        <w:tab w:val="center" w:pos="4680"/>
        <w:tab w:val="right" w:pos="9360"/>
      </w:tabs>
    </w:pPr>
  </w:style>
  <w:style w:type="character" w:customStyle="1" w:styleId="FooterChar">
    <w:name w:val="Footer Char"/>
    <w:basedOn w:val="DefaultParagraphFont"/>
    <w:link w:val="Footer"/>
    <w:uiPriority w:val="99"/>
    <w:rsid w:val="00CA700E"/>
    <w:rPr>
      <w:rFonts w:cstheme="minorBidi"/>
      <w:szCs w:val="22"/>
    </w:rPr>
  </w:style>
  <w:style w:type="paragraph" w:styleId="EndnoteText">
    <w:name w:val="endnote text"/>
    <w:basedOn w:val="Normal"/>
    <w:link w:val="EndnoteTextChar"/>
    <w:uiPriority w:val="99"/>
    <w:semiHidden/>
    <w:unhideWhenUsed/>
    <w:rsid w:val="00455C5B"/>
    <w:rPr>
      <w:sz w:val="20"/>
      <w:szCs w:val="20"/>
    </w:rPr>
  </w:style>
  <w:style w:type="character" w:customStyle="1" w:styleId="EndnoteTextChar">
    <w:name w:val="Endnote Text Char"/>
    <w:basedOn w:val="DefaultParagraphFont"/>
    <w:link w:val="EndnoteText"/>
    <w:uiPriority w:val="99"/>
    <w:semiHidden/>
    <w:rsid w:val="00455C5B"/>
    <w:rPr>
      <w:rFonts w:cstheme="minorBidi"/>
      <w:sz w:val="20"/>
      <w:szCs w:val="20"/>
    </w:rPr>
  </w:style>
  <w:style w:type="character" w:styleId="EndnoteReference">
    <w:name w:val="endnote reference"/>
    <w:basedOn w:val="DefaultParagraphFont"/>
    <w:uiPriority w:val="99"/>
    <w:semiHidden/>
    <w:unhideWhenUsed/>
    <w:rsid w:val="00455C5B"/>
    <w:rPr>
      <w:vertAlign w:val="superscript"/>
    </w:rPr>
  </w:style>
  <w:style w:type="paragraph" w:styleId="FootnoteText">
    <w:name w:val="footnote text"/>
    <w:basedOn w:val="Normal"/>
    <w:link w:val="FootnoteTextChar"/>
    <w:uiPriority w:val="99"/>
    <w:semiHidden/>
    <w:unhideWhenUsed/>
    <w:rsid w:val="00455C5B"/>
    <w:rPr>
      <w:sz w:val="20"/>
      <w:szCs w:val="20"/>
    </w:rPr>
  </w:style>
  <w:style w:type="character" w:customStyle="1" w:styleId="FootnoteTextChar">
    <w:name w:val="Footnote Text Char"/>
    <w:basedOn w:val="DefaultParagraphFont"/>
    <w:link w:val="FootnoteText"/>
    <w:uiPriority w:val="99"/>
    <w:semiHidden/>
    <w:rsid w:val="00455C5B"/>
    <w:rPr>
      <w:rFonts w:cstheme="minorBidi"/>
      <w:sz w:val="20"/>
      <w:szCs w:val="20"/>
    </w:rPr>
  </w:style>
  <w:style w:type="character" w:styleId="FootnoteReference">
    <w:name w:val="footnote reference"/>
    <w:basedOn w:val="DefaultParagraphFont"/>
    <w:uiPriority w:val="99"/>
    <w:semiHidden/>
    <w:unhideWhenUsed/>
    <w:rsid w:val="00455C5B"/>
    <w:rPr>
      <w:vertAlign w:val="superscript"/>
    </w:rPr>
  </w:style>
  <w:style w:type="character" w:styleId="CommentReference">
    <w:name w:val="annotation reference"/>
    <w:basedOn w:val="DefaultParagraphFont"/>
    <w:uiPriority w:val="99"/>
    <w:semiHidden/>
    <w:unhideWhenUsed/>
    <w:rsid w:val="00F90F8D"/>
    <w:rPr>
      <w:sz w:val="16"/>
      <w:szCs w:val="16"/>
    </w:rPr>
  </w:style>
  <w:style w:type="paragraph" w:styleId="CommentText">
    <w:name w:val="annotation text"/>
    <w:basedOn w:val="Normal"/>
    <w:link w:val="CommentTextChar"/>
    <w:uiPriority w:val="99"/>
    <w:semiHidden/>
    <w:unhideWhenUsed/>
    <w:rsid w:val="00F90F8D"/>
    <w:rPr>
      <w:sz w:val="20"/>
      <w:szCs w:val="20"/>
    </w:rPr>
  </w:style>
  <w:style w:type="character" w:customStyle="1" w:styleId="CommentTextChar">
    <w:name w:val="Comment Text Char"/>
    <w:basedOn w:val="DefaultParagraphFont"/>
    <w:link w:val="CommentText"/>
    <w:uiPriority w:val="99"/>
    <w:semiHidden/>
    <w:rsid w:val="00F90F8D"/>
    <w:rPr>
      <w:rFonts w:cstheme="minorBidi"/>
      <w:sz w:val="20"/>
      <w:szCs w:val="20"/>
    </w:rPr>
  </w:style>
  <w:style w:type="paragraph" w:styleId="CommentSubject">
    <w:name w:val="annotation subject"/>
    <w:basedOn w:val="CommentText"/>
    <w:next w:val="CommentText"/>
    <w:link w:val="CommentSubjectChar"/>
    <w:uiPriority w:val="99"/>
    <w:semiHidden/>
    <w:unhideWhenUsed/>
    <w:rsid w:val="00F90F8D"/>
    <w:rPr>
      <w:b/>
      <w:bCs/>
    </w:rPr>
  </w:style>
  <w:style w:type="character" w:customStyle="1" w:styleId="CommentSubjectChar">
    <w:name w:val="Comment Subject Char"/>
    <w:basedOn w:val="CommentTextChar"/>
    <w:link w:val="CommentSubject"/>
    <w:uiPriority w:val="99"/>
    <w:semiHidden/>
    <w:rsid w:val="00F90F8D"/>
    <w:rPr>
      <w:rFonts w:cstheme="minorBidi"/>
      <w:b/>
      <w:bCs/>
      <w:sz w:val="20"/>
      <w:szCs w:val="20"/>
    </w:rPr>
  </w:style>
  <w:style w:type="paragraph" w:styleId="BalloonText">
    <w:name w:val="Balloon Text"/>
    <w:basedOn w:val="Normal"/>
    <w:link w:val="BalloonTextChar"/>
    <w:uiPriority w:val="99"/>
    <w:semiHidden/>
    <w:unhideWhenUsed/>
    <w:rsid w:val="00F90F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F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40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6AEE7-9CA1-437D-8F14-DB1CEB33B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4584</Words>
  <Characters>25401</Characters>
  <Application>Microsoft Office Word</Application>
  <DocSecurity>4</DocSecurity>
  <Lines>552</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Dubose</dc:creator>
  <cp:keywords/>
  <dc:description/>
  <cp:lastModifiedBy>Beckie Figg</cp:lastModifiedBy>
  <cp:revision>2</cp:revision>
  <cp:lastPrinted>2019-01-18T21:00:00Z</cp:lastPrinted>
  <dcterms:created xsi:type="dcterms:W3CDTF">2019-02-05T19:27:00Z</dcterms:created>
  <dcterms:modified xsi:type="dcterms:W3CDTF">2019-02-05T19:27:00Z</dcterms:modified>
</cp:coreProperties>
</file>